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E3D18" w14:textId="77777777" w:rsidR="0010196A" w:rsidRDefault="000E5F18">
      <w:pPr>
        <w:pStyle w:val="a3"/>
        <w:widowControl/>
        <w:shd w:val="clear" w:color="auto" w:fill="FFFFFF"/>
        <w:spacing w:beforeAutospacing="0" w:after="60" w:afterAutospacing="0" w:line="368" w:lineRule="atLeast"/>
        <w:jc w:val="center"/>
        <w:rPr>
          <w:rFonts w:ascii="宋体" w:eastAsia="宋体" w:hAnsi="宋体" w:cs="宋体"/>
          <w:b/>
          <w:bCs/>
          <w:color w:val="333333"/>
          <w:sz w:val="44"/>
          <w:szCs w:val="44"/>
        </w:rPr>
      </w:pPr>
      <w:r>
        <w:rPr>
          <w:rFonts w:ascii="宋体" w:eastAsia="宋体" w:hAnsi="宋体" w:cs="宋体" w:hint="eastAsia"/>
          <w:b/>
          <w:bCs/>
          <w:color w:val="333333"/>
          <w:sz w:val="44"/>
          <w:szCs w:val="44"/>
          <w:shd w:val="clear" w:color="auto" w:fill="FFFFFF"/>
        </w:rPr>
        <w:t>高等学校预防与处理学术不端行为办法</w:t>
      </w:r>
    </w:p>
    <w:p w14:paraId="30CA7EB6" w14:textId="77777777" w:rsidR="0010196A" w:rsidRDefault="0010196A">
      <w:pPr>
        <w:pStyle w:val="a3"/>
        <w:widowControl/>
        <w:shd w:val="clear" w:color="auto" w:fill="FFFFFF"/>
        <w:spacing w:beforeAutospacing="0" w:after="60" w:afterAutospacing="0" w:line="16" w:lineRule="atLeast"/>
        <w:rPr>
          <w:rFonts w:ascii="Tahoma" w:eastAsia="Tahoma" w:hAnsi="Tahoma" w:cs="Tahoma"/>
          <w:color w:val="333333"/>
          <w:sz w:val="14"/>
          <w:szCs w:val="14"/>
        </w:rPr>
      </w:pPr>
    </w:p>
    <w:p w14:paraId="636BE069" w14:textId="77777777" w:rsidR="0010196A" w:rsidRDefault="000E5F18">
      <w:pPr>
        <w:pStyle w:val="a3"/>
        <w:widowControl/>
        <w:shd w:val="clear" w:color="auto" w:fill="FFFFFF"/>
        <w:spacing w:beforeAutospacing="0" w:after="60" w:afterAutospacing="0" w:line="500" w:lineRule="exact"/>
        <w:jc w:val="center"/>
        <w:rPr>
          <w:rFonts w:ascii="仿宋" w:eastAsia="仿宋" w:hAnsi="仿宋" w:cs="仿宋"/>
          <w:color w:val="333333"/>
          <w:sz w:val="28"/>
          <w:szCs w:val="28"/>
        </w:rPr>
      </w:pPr>
      <w:r>
        <w:rPr>
          <w:rFonts w:ascii="黑体" w:eastAsia="黑体" w:hAnsi="黑体" w:cs="黑体" w:hint="eastAsia"/>
          <w:color w:val="333333"/>
          <w:sz w:val="30"/>
          <w:szCs w:val="30"/>
          <w:shd w:val="clear" w:color="auto" w:fill="FFFFFF"/>
        </w:rPr>
        <w:t>第一章总则</w:t>
      </w:r>
    </w:p>
    <w:p w14:paraId="3C8D033F"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第一条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为有效预防和严肃查处高等学校发生的学术不端行为，维护学术诚信，促进学术创新和发展，根据《中华人民共和国高等教育法》《中华人民共和国科学技术进步法》《中华人民共和国学位条例》等法律法规，制定本办法。</w:t>
      </w:r>
    </w:p>
    <w:p w14:paraId="08C25F55" w14:textId="77777777" w:rsidR="0010196A" w:rsidRDefault="000E5F18">
      <w:pPr>
        <w:pStyle w:val="a3"/>
        <w:widowControl/>
        <w:shd w:val="clear" w:color="auto" w:fill="FFFFFF"/>
        <w:spacing w:beforeAutospacing="0" w:after="60" w:afterAutospacing="0" w:line="500" w:lineRule="exact"/>
        <w:ind w:firstLineChars="200" w:firstLine="602"/>
        <w:rPr>
          <w:rFonts w:ascii="仿宋" w:eastAsia="仿宋" w:hAnsi="仿宋" w:cs="仿宋"/>
          <w:color w:val="333333"/>
          <w:sz w:val="28"/>
          <w:szCs w:val="28"/>
        </w:rPr>
      </w:pPr>
      <w:r>
        <w:rPr>
          <w:rFonts w:ascii="仿宋" w:eastAsia="仿宋" w:hAnsi="仿宋" w:cs="仿宋" w:hint="eastAsia"/>
          <w:b/>
          <w:bCs/>
          <w:color w:val="333333"/>
          <w:sz w:val="30"/>
          <w:szCs w:val="30"/>
          <w:shd w:val="clear" w:color="auto" w:fill="FFFFFF"/>
        </w:rPr>
        <w:t>第二条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本办法所称学术不端行为是指高等学校及其教学科研人员、管理人员和学生，在科学研究及相关活动中发生的违反公认的学术准则、违背学术诚信的行为。</w:t>
      </w:r>
    </w:p>
    <w:p w14:paraId="23CFF262"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第三条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高等学校预防与处理学术不端行为应坚持预防为主、教育与惩戒结合的原则。</w:t>
      </w:r>
    </w:p>
    <w:p w14:paraId="7B925D69"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第四条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14:paraId="39166DBF"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第五条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14:paraId="2C7D01BE" w14:textId="77777777" w:rsidR="0010196A" w:rsidRDefault="000E5F18">
      <w:pPr>
        <w:pStyle w:val="a3"/>
        <w:widowControl/>
        <w:shd w:val="clear" w:color="auto" w:fill="FFFFFF"/>
        <w:spacing w:beforeAutospacing="0" w:after="60" w:afterAutospacing="0" w:line="500" w:lineRule="exact"/>
        <w:ind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高等学校应当充分发挥学术委员会在学风建设方面的作用，支持和保障学术委员会依法履行职</w:t>
      </w:r>
      <w:r>
        <w:rPr>
          <w:rFonts w:ascii="仿宋" w:eastAsia="仿宋" w:hAnsi="仿宋" w:cs="仿宋" w:hint="eastAsia"/>
          <w:color w:val="333333"/>
          <w:sz w:val="28"/>
          <w:szCs w:val="28"/>
          <w:shd w:val="clear" w:color="auto" w:fill="FFFFFF"/>
        </w:rPr>
        <w:t>责，调查、认定学术不端行为。</w:t>
      </w:r>
    </w:p>
    <w:p w14:paraId="52B8A931" w14:textId="77777777" w:rsidR="0010196A" w:rsidRDefault="0010196A">
      <w:pPr>
        <w:pStyle w:val="a3"/>
        <w:widowControl/>
        <w:shd w:val="clear" w:color="auto" w:fill="FFFFFF"/>
        <w:spacing w:beforeAutospacing="0" w:after="60" w:afterAutospacing="0" w:line="500" w:lineRule="exact"/>
        <w:ind w:firstLine="560"/>
        <w:rPr>
          <w:rFonts w:ascii="仿宋" w:eastAsia="仿宋" w:hAnsi="仿宋" w:cs="仿宋"/>
          <w:color w:val="333333"/>
          <w:sz w:val="28"/>
          <w:szCs w:val="28"/>
          <w:shd w:val="clear" w:color="auto" w:fill="FFFFFF"/>
        </w:rPr>
      </w:pPr>
    </w:p>
    <w:p w14:paraId="113FAE78" w14:textId="77777777" w:rsidR="0010196A" w:rsidRDefault="0010196A">
      <w:pPr>
        <w:pStyle w:val="a3"/>
        <w:widowControl/>
        <w:shd w:val="clear" w:color="auto" w:fill="FFFFFF"/>
        <w:spacing w:beforeAutospacing="0" w:after="60" w:afterAutospacing="0" w:line="500" w:lineRule="exact"/>
        <w:ind w:firstLine="560"/>
        <w:rPr>
          <w:rFonts w:ascii="仿宋" w:eastAsia="仿宋" w:hAnsi="仿宋" w:cs="仿宋"/>
          <w:color w:val="333333"/>
          <w:sz w:val="28"/>
          <w:szCs w:val="28"/>
          <w:shd w:val="clear" w:color="auto" w:fill="FFFFFF"/>
        </w:rPr>
      </w:pPr>
    </w:p>
    <w:p w14:paraId="5314FA20" w14:textId="77777777" w:rsidR="0010196A" w:rsidRDefault="0010196A">
      <w:pPr>
        <w:pStyle w:val="a3"/>
        <w:widowControl/>
        <w:shd w:val="clear" w:color="auto" w:fill="FFFFFF"/>
        <w:spacing w:beforeAutospacing="0" w:after="60" w:afterAutospacing="0" w:line="500" w:lineRule="exact"/>
        <w:ind w:firstLine="560"/>
        <w:rPr>
          <w:rFonts w:ascii="仿宋" w:eastAsia="仿宋" w:hAnsi="仿宋" w:cs="仿宋"/>
          <w:color w:val="333333"/>
          <w:sz w:val="28"/>
          <w:szCs w:val="28"/>
          <w:shd w:val="clear" w:color="auto" w:fill="FFFFFF"/>
        </w:rPr>
      </w:pPr>
    </w:p>
    <w:p w14:paraId="66CC70DE" w14:textId="77777777" w:rsidR="0010196A" w:rsidRDefault="0010196A">
      <w:pPr>
        <w:pStyle w:val="a3"/>
        <w:widowControl/>
        <w:shd w:val="clear" w:color="auto" w:fill="FFFFFF"/>
        <w:spacing w:beforeAutospacing="0" w:after="60" w:afterAutospacing="0" w:line="500" w:lineRule="exact"/>
        <w:ind w:firstLine="560"/>
        <w:rPr>
          <w:rFonts w:ascii="仿宋" w:eastAsia="仿宋" w:hAnsi="仿宋" w:cs="仿宋"/>
          <w:color w:val="333333"/>
          <w:sz w:val="28"/>
          <w:szCs w:val="28"/>
          <w:shd w:val="clear" w:color="auto" w:fill="FFFFFF"/>
        </w:rPr>
      </w:pPr>
    </w:p>
    <w:p w14:paraId="4C12ED48" w14:textId="77777777" w:rsidR="0010196A" w:rsidRDefault="000E5F18">
      <w:pPr>
        <w:pStyle w:val="a3"/>
        <w:widowControl/>
        <w:shd w:val="clear" w:color="auto" w:fill="FFFFFF"/>
        <w:spacing w:beforeAutospacing="0" w:after="60" w:afterAutospacing="0" w:line="500" w:lineRule="exact"/>
        <w:jc w:val="center"/>
        <w:rPr>
          <w:rFonts w:ascii="仿宋" w:eastAsia="仿宋" w:hAnsi="仿宋" w:cs="仿宋"/>
          <w:color w:val="333333"/>
          <w:sz w:val="28"/>
          <w:szCs w:val="28"/>
        </w:rPr>
      </w:pPr>
      <w:r>
        <w:rPr>
          <w:rFonts w:ascii="黑体" w:eastAsia="黑体" w:hAnsi="黑体" w:cs="黑体" w:hint="eastAsia"/>
          <w:color w:val="333333"/>
          <w:sz w:val="30"/>
          <w:szCs w:val="30"/>
          <w:shd w:val="clear" w:color="auto" w:fill="FFFFFF"/>
        </w:rPr>
        <w:lastRenderedPageBreak/>
        <w:t>第二章教育与预防</w:t>
      </w:r>
    </w:p>
    <w:p w14:paraId="0D25CDEF"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第六条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高等学校应当完善学术治理体系，建立科学公正的学术评价和学术发展制度，营造鼓励创新、宽容失败、不骄不躁、风清气正的学术环境。</w:t>
      </w:r>
    </w:p>
    <w:p w14:paraId="7E59F714"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高等学校教学科研人员、管理人员、学生在科研活动中应当遵循实事求是的科学精神和严谨认真的治学态度，恪守学术诚信，遵循学术准则，尊重和保护他人知识产权等合法权益。</w:t>
      </w:r>
    </w:p>
    <w:p w14:paraId="5C68AF61"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第七条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高等学校应当将学术规范和学术诚信教育，作为教师培训和学生教育的必要内容，以多种形式开展教育、培训。</w:t>
      </w:r>
    </w:p>
    <w:p w14:paraId="371CF27B"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教师对其指导的学生应当进行学术规范、学术诚信教育和指导，对学生公开发表论文、研究和撰写学位论文是否符合学术规范、学术诚信要求，进行必要的检查与审核。</w:t>
      </w:r>
    </w:p>
    <w:p w14:paraId="6C8F3525"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第八条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高等学校应当利用信息技术等手段，建立对学术成果、学位论文所涉及内容的知</w:t>
      </w:r>
      <w:r>
        <w:rPr>
          <w:rFonts w:ascii="仿宋" w:eastAsia="仿宋" w:hAnsi="仿宋" w:cs="仿宋" w:hint="eastAsia"/>
          <w:color w:val="333333"/>
          <w:sz w:val="28"/>
          <w:szCs w:val="28"/>
          <w:shd w:val="clear" w:color="auto" w:fill="FFFFFF"/>
        </w:rPr>
        <w:t>识产权查询制度，健全学术规范监督机制。</w:t>
      </w:r>
    </w:p>
    <w:p w14:paraId="4CF6ABD3"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 xml:space="preserve">　第九条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高等学校应当建立健全科研管理制度，在合理期限内保存研究的原始数据和资料，保证科研档案和数据的真实性、完整性。</w:t>
      </w:r>
    </w:p>
    <w:p w14:paraId="2E2AA056"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高等学校应当完善科研项目评审、学术成果鉴定程序，结合学科特点，对非涉密的科研项目申报材料、学术成果的基本信息以适当方式进行公开。</w:t>
      </w:r>
    </w:p>
    <w:p w14:paraId="3455BF30"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第十条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高等学校应当遵循学术研究规律，建立科学的学术水平考核评价标准、办法，引导教学科研人员和学生潜心研究，形成具有创新性、独创性的研究成果。</w:t>
      </w:r>
    </w:p>
    <w:p w14:paraId="589453E7" w14:textId="77777777" w:rsidR="0010196A" w:rsidRDefault="000E5F18">
      <w:pPr>
        <w:pStyle w:val="a3"/>
        <w:widowControl/>
        <w:shd w:val="clear" w:color="auto" w:fill="FFFFFF"/>
        <w:spacing w:beforeAutospacing="0" w:after="60" w:afterAutospacing="0" w:line="500" w:lineRule="exact"/>
        <w:ind w:firstLineChars="200" w:firstLine="602"/>
        <w:rPr>
          <w:rFonts w:ascii="仿宋" w:eastAsia="仿宋" w:hAnsi="仿宋" w:cs="仿宋"/>
          <w:color w:val="333333"/>
          <w:sz w:val="28"/>
          <w:szCs w:val="28"/>
          <w:shd w:val="clear" w:color="auto" w:fill="FFFFFF"/>
        </w:rPr>
      </w:pPr>
      <w:r>
        <w:rPr>
          <w:rFonts w:ascii="仿宋" w:eastAsia="仿宋" w:hAnsi="仿宋" w:cs="仿宋" w:hint="eastAsia"/>
          <w:b/>
          <w:bCs/>
          <w:color w:val="333333"/>
          <w:sz w:val="30"/>
          <w:szCs w:val="30"/>
          <w:shd w:val="clear" w:color="auto" w:fill="FFFFFF"/>
        </w:rPr>
        <w:t>第十一条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高等学校应当建立教学科研人员学术诚信记录，在年度考核、职称评定、岗位聘用、课题立项、人才计划、评优奖励中强化学术诚信考核。</w:t>
      </w:r>
    </w:p>
    <w:p w14:paraId="4D6398FD" w14:textId="77777777" w:rsidR="0010196A" w:rsidRDefault="0010196A">
      <w:pPr>
        <w:pStyle w:val="a3"/>
        <w:widowControl/>
        <w:shd w:val="clear" w:color="auto" w:fill="FFFFFF"/>
        <w:spacing w:beforeAutospacing="0" w:after="60" w:afterAutospacing="0" w:line="500" w:lineRule="exact"/>
        <w:ind w:firstLineChars="200" w:firstLine="560"/>
        <w:rPr>
          <w:rFonts w:ascii="仿宋" w:eastAsia="仿宋" w:hAnsi="仿宋" w:cs="仿宋"/>
          <w:color w:val="333333"/>
          <w:sz w:val="28"/>
          <w:szCs w:val="28"/>
          <w:shd w:val="clear" w:color="auto" w:fill="FFFFFF"/>
        </w:rPr>
      </w:pPr>
    </w:p>
    <w:p w14:paraId="00F0F41C" w14:textId="77777777" w:rsidR="0010196A" w:rsidRDefault="000E5F18">
      <w:pPr>
        <w:pStyle w:val="a3"/>
        <w:widowControl/>
        <w:shd w:val="clear" w:color="auto" w:fill="FFFFFF"/>
        <w:spacing w:beforeAutospacing="0" w:after="60" w:afterAutospacing="0" w:line="500" w:lineRule="exact"/>
        <w:jc w:val="center"/>
        <w:rPr>
          <w:rFonts w:ascii="黑体" w:eastAsia="黑体" w:hAnsi="黑体" w:cs="黑体"/>
          <w:color w:val="333333"/>
          <w:sz w:val="30"/>
          <w:szCs w:val="30"/>
          <w:shd w:val="clear" w:color="auto" w:fill="FFFFFF"/>
        </w:rPr>
      </w:pPr>
      <w:r>
        <w:rPr>
          <w:rFonts w:ascii="黑体" w:eastAsia="黑体" w:hAnsi="黑体" w:cs="黑体" w:hint="eastAsia"/>
          <w:color w:val="333333"/>
          <w:sz w:val="30"/>
          <w:szCs w:val="30"/>
          <w:shd w:val="clear" w:color="auto" w:fill="FFFFFF"/>
        </w:rPr>
        <w:lastRenderedPageBreak/>
        <w:t>第三章受理与调查</w:t>
      </w:r>
    </w:p>
    <w:p w14:paraId="36D1939D"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第十二条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14:paraId="2118C5C8"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第十三条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对学术不端行为的举报，一般应当以书面方式实名提出，并符合下列条件：</w:t>
      </w:r>
    </w:p>
    <w:p w14:paraId="4E683D22"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（一）有明确的举报对象；</w:t>
      </w:r>
    </w:p>
    <w:p w14:paraId="0FFE1307"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（二）有实施学术不端行为的事实；</w:t>
      </w:r>
    </w:p>
    <w:p w14:paraId="212CA692"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（三）有客观的证据材料或者查证线索。</w:t>
      </w:r>
    </w:p>
    <w:p w14:paraId="48FEFD44"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以匿名方式举报，但事实清楚、证据充分或者线索明确的，高等学校应当视情况予以受理。</w:t>
      </w:r>
    </w:p>
    <w:p w14:paraId="7946E574"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第十四条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高等学校对媒体公开报道、其他学术机构或者社会组织主动披露的涉及本校人员的学术不端行为，应当依据职权，主动进行调查处理。</w:t>
      </w:r>
    </w:p>
    <w:p w14:paraId="2FDD857C"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第十五条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高等学校受理机构认为举报材料符合条件的，应当及时</w:t>
      </w:r>
      <w:proofErr w:type="gramStart"/>
      <w:r>
        <w:rPr>
          <w:rFonts w:ascii="仿宋" w:eastAsia="仿宋" w:hAnsi="仿宋" w:cs="仿宋" w:hint="eastAsia"/>
          <w:color w:val="333333"/>
          <w:sz w:val="28"/>
          <w:szCs w:val="28"/>
          <w:shd w:val="clear" w:color="auto" w:fill="FFFFFF"/>
        </w:rPr>
        <w:t>作出</w:t>
      </w:r>
      <w:proofErr w:type="gramEnd"/>
      <w:r>
        <w:rPr>
          <w:rFonts w:ascii="仿宋" w:eastAsia="仿宋" w:hAnsi="仿宋" w:cs="仿宋" w:hint="eastAsia"/>
          <w:color w:val="333333"/>
          <w:sz w:val="28"/>
          <w:szCs w:val="28"/>
          <w:shd w:val="clear" w:color="auto" w:fill="FFFFFF"/>
        </w:rPr>
        <w:t>受理决定，并通知举报人。不予受理的，应当书面说明理由。</w:t>
      </w:r>
    </w:p>
    <w:p w14:paraId="6056A0B7"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第十六条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学术不端行为举报受理后，应当交由学校学术委员会按照相关程序组织开展调查。</w:t>
      </w:r>
    </w:p>
    <w:p w14:paraId="76606EEF"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学术委员会可委托有关专家就举报内容的合理性、调查的可能性等进行初步审查，并</w:t>
      </w:r>
      <w:proofErr w:type="gramStart"/>
      <w:r>
        <w:rPr>
          <w:rFonts w:ascii="仿宋" w:eastAsia="仿宋" w:hAnsi="仿宋" w:cs="仿宋" w:hint="eastAsia"/>
          <w:color w:val="333333"/>
          <w:sz w:val="28"/>
          <w:szCs w:val="28"/>
          <w:shd w:val="clear" w:color="auto" w:fill="FFFFFF"/>
        </w:rPr>
        <w:t>作出</w:t>
      </w:r>
      <w:proofErr w:type="gramEnd"/>
      <w:r>
        <w:rPr>
          <w:rFonts w:ascii="仿宋" w:eastAsia="仿宋" w:hAnsi="仿宋" w:cs="仿宋" w:hint="eastAsia"/>
          <w:color w:val="333333"/>
          <w:sz w:val="28"/>
          <w:szCs w:val="28"/>
          <w:shd w:val="clear" w:color="auto" w:fill="FFFFFF"/>
        </w:rPr>
        <w:t>是否进入正式调查的决定。</w:t>
      </w:r>
    </w:p>
    <w:p w14:paraId="6C8CBA96"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决定不进入正式调查的，应当告知举报人。举报人如有新的证据，可以提出异议。异议成立的，应当进入正式调查。</w:t>
      </w:r>
    </w:p>
    <w:p w14:paraId="6DDEFEC1"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第十七条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高等学校学术委员会决定进入正式调查的，应当通知被举报人。</w:t>
      </w:r>
    </w:p>
    <w:p w14:paraId="1EE03278"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被调查行为涉及资助项目的，可以同时通知项目资助方。</w:t>
      </w:r>
    </w:p>
    <w:p w14:paraId="19FCDEEB"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lastRenderedPageBreak/>
        <w:t xml:space="preserve">　　</w:t>
      </w:r>
      <w:r>
        <w:rPr>
          <w:rFonts w:ascii="仿宋" w:eastAsia="仿宋" w:hAnsi="仿宋" w:cs="仿宋" w:hint="eastAsia"/>
          <w:b/>
          <w:bCs/>
          <w:color w:val="333333"/>
          <w:sz w:val="30"/>
          <w:szCs w:val="30"/>
          <w:shd w:val="clear" w:color="auto" w:fill="FFFFFF"/>
        </w:rPr>
        <w:t>第十八条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高等学校学术委员会应当组成调查组，负责对被举报行为进行调查；但对事实清楚、证据</w:t>
      </w:r>
      <w:r>
        <w:rPr>
          <w:rFonts w:ascii="仿宋" w:eastAsia="仿宋" w:hAnsi="仿宋" w:cs="仿宋" w:hint="eastAsia"/>
          <w:color w:val="333333"/>
          <w:sz w:val="28"/>
          <w:szCs w:val="28"/>
          <w:shd w:val="clear" w:color="auto" w:fill="FFFFFF"/>
        </w:rPr>
        <w:t>确凿、情节简单的被举报行为，也可以采用简易调查程序，具体办法由学术委员会确定。</w:t>
      </w:r>
    </w:p>
    <w:p w14:paraId="15008F20"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调查组应当不少于３人，必要时应当包括学校纪检、监察机构指派的工作人员，可以邀请同行专家参与调查或者以咨询等方式提供学术判断。</w:t>
      </w:r>
    </w:p>
    <w:p w14:paraId="517F897A"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被调查行为涉及资助项目的，可以邀请项目资助方委派相关专业人员参与调查组。</w:t>
      </w:r>
    </w:p>
    <w:p w14:paraId="24C9F8C5"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第十九条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调查组的组成人员与举报人或者被举报人有合作研究、亲属或者导师学生等直接利害关系的，应当回避。</w:t>
      </w:r>
    </w:p>
    <w:p w14:paraId="7359632C"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第二十条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调查可通过查询资料、现场查看、实验检验、询问证人、询问举报人和被举报人等方式进行。调查组认为有必要的，</w:t>
      </w:r>
      <w:r>
        <w:rPr>
          <w:rFonts w:ascii="仿宋" w:eastAsia="仿宋" w:hAnsi="仿宋" w:cs="仿宋" w:hint="eastAsia"/>
          <w:color w:val="333333"/>
          <w:sz w:val="28"/>
          <w:szCs w:val="28"/>
          <w:shd w:val="clear" w:color="auto" w:fill="FFFFFF"/>
        </w:rPr>
        <w:t>可以委托无利害关系的专家或者第三</w:t>
      </w:r>
      <w:proofErr w:type="gramStart"/>
      <w:r>
        <w:rPr>
          <w:rFonts w:ascii="仿宋" w:eastAsia="仿宋" w:hAnsi="仿宋" w:cs="仿宋" w:hint="eastAsia"/>
          <w:color w:val="333333"/>
          <w:sz w:val="28"/>
          <w:szCs w:val="28"/>
          <w:shd w:val="clear" w:color="auto" w:fill="FFFFFF"/>
        </w:rPr>
        <w:t>方专业</w:t>
      </w:r>
      <w:proofErr w:type="gramEnd"/>
      <w:r>
        <w:rPr>
          <w:rFonts w:ascii="仿宋" w:eastAsia="仿宋" w:hAnsi="仿宋" w:cs="仿宋" w:hint="eastAsia"/>
          <w:color w:val="333333"/>
          <w:sz w:val="28"/>
          <w:szCs w:val="28"/>
          <w:shd w:val="clear" w:color="auto" w:fill="FFFFFF"/>
        </w:rPr>
        <w:t>机构就有关事项进行独立调查或者验证。</w:t>
      </w:r>
    </w:p>
    <w:p w14:paraId="473E855F"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第二十一条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调查组在调查过程中，应当认真听取被举报人的陈述、申辩，对有关事实、理由和证据进行核实；认为必要的，可以采取听证方式。</w:t>
      </w:r>
    </w:p>
    <w:p w14:paraId="448F670D"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第二十二条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有关单位和个人应当为调查组开展工作提供必要的便利和协助。</w:t>
      </w:r>
    </w:p>
    <w:p w14:paraId="4C7139E2"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举报人、被举报人、证人及其他有关人员应当如实回答询问，配合调查，提供相关证据材料，不得隐瞒或者提供虚假信息。</w:t>
      </w:r>
    </w:p>
    <w:p w14:paraId="2EC67CFA"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第二十三条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调查过程中，出现知识产权等争议引发的法律纠纷的，且该争议可能影响行为定性的，应当中止调查，待争议解</w:t>
      </w:r>
      <w:r>
        <w:rPr>
          <w:rFonts w:ascii="仿宋" w:eastAsia="仿宋" w:hAnsi="仿宋" w:cs="仿宋" w:hint="eastAsia"/>
          <w:color w:val="333333"/>
          <w:sz w:val="28"/>
          <w:szCs w:val="28"/>
          <w:shd w:val="clear" w:color="auto" w:fill="FFFFFF"/>
        </w:rPr>
        <w:t>决后重启调查。</w:t>
      </w:r>
    </w:p>
    <w:p w14:paraId="0FB54F8D" w14:textId="77777777" w:rsidR="0010196A" w:rsidRDefault="0010196A">
      <w:pPr>
        <w:pStyle w:val="a3"/>
        <w:widowControl/>
        <w:shd w:val="clear" w:color="auto" w:fill="FFFFFF"/>
        <w:spacing w:beforeAutospacing="0" w:after="60" w:afterAutospacing="0" w:line="500" w:lineRule="exact"/>
        <w:rPr>
          <w:rFonts w:ascii="仿宋" w:eastAsia="仿宋" w:hAnsi="仿宋" w:cs="仿宋"/>
          <w:color w:val="333333"/>
          <w:sz w:val="28"/>
          <w:szCs w:val="28"/>
        </w:rPr>
      </w:pPr>
    </w:p>
    <w:p w14:paraId="39B987B3"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lastRenderedPageBreak/>
        <w:t xml:space="preserve">　　</w:t>
      </w:r>
      <w:r>
        <w:rPr>
          <w:rFonts w:ascii="仿宋" w:eastAsia="仿宋" w:hAnsi="仿宋" w:cs="仿宋" w:hint="eastAsia"/>
          <w:b/>
          <w:bCs/>
          <w:color w:val="333333"/>
          <w:sz w:val="30"/>
          <w:szCs w:val="30"/>
          <w:shd w:val="clear" w:color="auto" w:fill="FFFFFF"/>
        </w:rPr>
        <w:t>第二十四条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调查组应当在查清事实的基础上形成调查报告。调查报告应当包括学术不端行为责任人的确认、调查过程、事实认定及理由、调查结论等。</w:t>
      </w:r>
    </w:p>
    <w:p w14:paraId="1D97AFB4"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学术不端行为由多人集体做出的，调查报告中应当区别各责任人在行为中所发挥的作用。</w:t>
      </w:r>
    </w:p>
    <w:p w14:paraId="5F3C3F6A"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第二十五条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接触举报材料和参与调查处理的人员，不得向无关人员透露举报人、被举报人个人信息及调查情况。</w:t>
      </w:r>
    </w:p>
    <w:p w14:paraId="2559BA19" w14:textId="77777777" w:rsidR="0010196A" w:rsidRDefault="0010196A">
      <w:pPr>
        <w:pStyle w:val="a3"/>
        <w:widowControl/>
        <w:shd w:val="clear" w:color="auto" w:fill="FFFFFF"/>
        <w:spacing w:beforeAutospacing="0" w:after="60" w:afterAutospacing="0" w:line="500" w:lineRule="exact"/>
        <w:rPr>
          <w:rFonts w:ascii="仿宋" w:eastAsia="仿宋" w:hAnsi="仿宋" w:cs="仿宋"/>
          <w:color w:val="333333"/>
          <w:sz w:val="28"/>
          <w:szCs w:val="28"/>
        </w:rPr>
      </w:pPr>
    </w:p>
    <w:p w14:paraId="7E451CD5" w14:textId="77777777" w:rsidR="0010196A" w:rsidRDefault="000E5F18">
      <w:pPr>
        <w:pStyle w:val="a3"/>
        <w:widowControl/>
        <w:shd w:val="clear" w:color="auto" w:fill="FFFFFF"/>
        <w:spacing w:beforeAutospacing="0" w:after="60" w:afterAutospacing="0" w:line="500" w:lineRule="exact"/>
        <w:jc w:val="center"/>
        <w:rPr>
          <w:rFonts w:ascii="仿宋" w:eastAsia="仿宋" w:hAnsi="仿宋" w:cs="仿宋"/>
          <w:color w:val="333333"/>
          <w:sz w:val="28"/>
          <w:szCs w:val="28"/>
        </w:rPr>
      </w:pPr>
      <w:r>
        <w:rPr>
          <w:rFonts w:ascii="黑体" w:eastAsia="黑体" w:hAnsi="黑体" w:cs="黑体" w:hint="eastAsia"/>
          <w:color w:val="333333"/>
          <w:sz w:val="30"/>
          <w:szCs w:val="30"/>
          <w:shd w:val="clear" w:color="auto" w:fill="FFFFFF"/>
        </w:rPr>
        <w:t>第四章认定</w:t>
      </w:r>
    </w:p>
    <w:p w14:paraId="3C7009B8"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第二十六条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高等学校学术委员会应当对调查组提交的调查报告进行审查；必要的，应当听取调查组的汇报。</w:t>
      </w:r>
    </w:p>
    <w:p w14:paraId="3131B8E1"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学术委员会可以召开全体会议或者授权专门委员会对被调查行为是否构成学术不端行为以及行为的性质、情节等</w:t>
      </w:r>
      <w:proofErr w:type="gramStart"/>
      <w:r>
        <w:rPr>
          <w:rFonts w:ascii="仿宋" w:eastAsia="仿宋" w:hAnsi="仿宋" w:cs="仿宋" w:hint="eastAsia"/>
          <w:color w:val="333333"/>
          <w:sz w:val="28"/>
          <w:szCs w:val="28"/>
          <w:shd w:val="clear" w:color="auto" w:fill="FFFFFF"/>
        </w:rPr>
        <w:t>作出</w:t>
      </w:r>
      <w:proofErr w:type="gramEnd"/>
      <w:r>
        <w:rPr>
          <w:rFonts w:ascii="仿宋" w:eastAsia="仿宋" w:hAnsi="仿宋" w:cs="仿宋" w:hint="eastAsia"/>
          <w:color w:val="333333"/>
          <w:sz w:val="28"/>
          <w:szCs w:val="28"/>
          <w:shd w:val="clear" w:color="auto" w:fill="FFFFFF"/>
        </w:rPr>
        <w:t>认定结论，并依职权</w:t>
      </w:r>
      <w:proofErr w:type="gramStart"/>
      <w:r>
        <w:rPr>
          <w:rFonts w:ascii="仿宋" w:eastAsia="仿宋" w:hAnsi="仿宋" w:cs="仿宋" w:hint="eastAsia"/>
          <w:color w:val="333333"/>
          <w:sz w:val="28"/>
          <w:szCs w:val="28"/>
          <w:shd w:val="clear" w:color="auto" w:fill="FFFFFF"/>
        </w:rPr>
        <w:t>作出</w:t>
      </w:r>
      <w:proofErr w:type="gramEnd"/>
      <w:r>
        <w:rPr>
          <w:rFonts w:ascii="仿宋" w:eastAsia="仿宋" w:hAnsi="仿宋" w:cs="仿宋" w:hint="eastAsia"/>
          <w:color w:val="333333"/>
          <w:sz w:val="28"/>
          <w:szCs w:val="28"/>
          <w:shd w:val="clear" w:color="auto" w:fill="FFFFFF"/>
        </w:rPr>
        <w:t>处理或建议学校</w:t>
      </w:r>
      <w:proofErr w:type="gramStart"/>
      <w:r>
        <w:rPr>
          <w:rFonts w:ascii="仿宋" w:eastAsia="仿宋" w:hAnsi="仿宋" w:cs="仿宋" w:hint="eastAsia"/>
          <w:color w:val="333333"/>
          <w:sz w:val="28"/>
          <w:szCs w:val="28"/>
          <w:shd w:val="clear" w:color="auto" w:fill="FFFFFF"/>
        </w:rPr>
        <w:t>作出</w:t>
      </w:r>
      <w:proofErr w:type="gramEnd"/>
      <w:r>
        <w:rPr>
          <w:rFonts w:ascii="仿宋" w:eastAsia="仿宋" w:hAnsi="仿宋" w:cs="仿宋" w:hint="eastAsia"/>
          <w:color w:val="333333"/>
          <w:sz w:val="28"/>
          <w:szCs w:val="28"/>
          <w:shd w:val="clear" w:color="auto" w:fill="FFFFFF"/>
        </w:rPr>
        <w:t>相应处理。</w:t>
      </w:r>
    </w:p>
    <w:p w14:paraId="5B8E4BD4"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第二十七条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经调查，确认被举报人在科学研究及相关活动中有下列行为之一的，应当认定为构成学术不端行为：</w:t>
      </w:r>
    </w:p>
    <w:p w14:paraId="7CFFF7C7"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（一）剽窃、抄袭、侵占他人学术成果；</w:t>
      </w:r>
    </w:p>
    <w:p w14:paraId="02D17F7D"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（二）篡改他人研究成果；</w:t>
      </w:r>
    </w:p>
    <w:p w14:paraId="3A148AFE"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（三）伪造科研数据、资料、文献、注释，或者捏造事实、编造虚假研究成果；</w:t>
      </w:r>
    </w:p>
    <w:p w14:paraId="41250F0A"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（四）未参加研究或创作而在研究成果、学术论文上署名，未经他人许可而不当使用他人署名，虚构合作者共同署名，或者多人共同完成研究而在成果中未注明他人工作、贡献；</w:t>
      </w:r>
    </w:p>
    <w:p w14:paraId="45BEB82B"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（五）在申报课题、成果、奖励和职务评审评定、申请学位等过程中提供虚假学术信息；</w:t>
      </w:r>
    </w:p>
    <w:p w14:paraId="40AC12AD"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（六）买卖论文、由他人代写或者为他人代写论文；</w:t>
      </w:r>
    </w:p>
    <w:p w14:paraId="24555483"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lastRenderedPageBreak/>
        <w:t xml:space="preserve">　　（七）其他根据高等学校或者有关学术组织、相关科研管理机构制定的规则，属于学术不端的行为。</w:t>
      </w:r>
    </w:p>
    <w:p w14:paraId="7897DB03"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第二十八条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有学术不端行为且有下列情形之</w:t>
      </w:r>
      <w:r>
        <w:rPr>
          <w:rFonts w:ascii="仿宋" w:eastAsia="仿宋" w:hAnsi="仿宋" w:cs="仿宋" w:hint="eastAsia"/>
          <w:color w:val="333333"/>
          <w:sz w:val="28"/>
          <w:szCs w:val="28"/>
          <w:shd w:val="clear" w:color="auto" w:fill="FFFFFF"/>
        </w:rPr>
        <w:t>一的，应当认定为情节严重：</w:t>
      </w:r>
    </w:p>
    <w:p w14:paraId="74B9EF7B"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（一）造成恶劣影响的；</w:t>
      </w:r>
    </w:p>
    <w:p w14:paraId="1C254962"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（二）存在利益输送或者利益交换的；</w:t>
      </w:r>
    </w:p>
    <w:p w14:paraId="5D7CE647"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（三）对举报人进行打击报复的；</w:t>
      </w:r>
    </w:p>
    <w:p w14:paraId="1B9B1C0B"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（四）有组织实施学术不端行为的；</w:t>
      </w:r>
    </w:p>
    <w:p w14:paraId="288F9B34"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（五）多次实施学术不端行为的；</w:t>
      </w:r>
    </w:p>
    <w:p w14:paraId="2841DF20"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（六）其他造成严重后果或者恶劣影响的。</w:t>
      </w:r>
    </w:p>
    <w:p w14:paraId="0219A22D" w14:textId="77777777" w:rsidR="0010196A" w:rsidRDefault="0010196A">
      <w:pPr>
        <w:pStyle w:val="a3"/>
        <w:widowControl/>
        <w:shd w:val="clear" w:color="auto" w:fill="FFFFFF"/>
        <w:spacing w:beforeAutospacing="0" w:after="60" w:afterAutospacing="0" w:line="500" w:lineRule="exact"/>
        <w:rPr>
          <w:rFonts w:ascii="仿宋" w:eastAsia="仿宋" w:hAnsi="仿宋" w:cs="仿宋"/>
          <w:color w:val="333333"/>
          <w:sz w:val="28"/>
          <w:szCs w:val="28"/>
        </w:rPr>
      </w:pPr>
    </w:p>
    <w:p w14:paraId="2C6F39C4" w14:textId="77777777" w:rsidR="0010196A" w:rsidRDefault="000E5F18">
      <w:pPr>
        <w:pStyle w:val="a3"/>
        <w:widowControl/>
        <w:shd w:val="clear" w:color="auto" w:fill="FFFFFF"/>
        <w:spacing w:beforeAutospacing="0" w:after="60" w:afterAutospacing="0" w:line="500" w:lineRule="exact"/>
        <w:jc w:val="center"/>
        <w:rPr>
          <w:rFonts w:ascii="仿宋" w:eastAsia="仿宋" w:hAnsi="仿宋" w:cs="仿宋"/>
          <w:color w:val="333333"/>
          <w:sz w:val="28"/>
          <w:szCs w:val="28"/>
        </w:rPr>
      </w:pPr>
      <w:r>
        <w:rPr>
          <w:rFonts w:ascii="黑体" w:eastAsia="黑体" w:hAnsi="黑体" w:cs="黑体" w:hint="eastAsia"/>
          <w:color w:val="333333"/>
          <w:sz w:val="30"/>
          <w:szCs w:val="30"/>
          <w:shd w:val="clear" w:color="auto" w:fill="FFFFFF"/>
        </w:rPr>
        <w:t>第五章处理</w:t>
      </w:r>
    </w:p>
    <w:p w14:paraId="4207EE7F"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第二十九条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高等学校应当根据学术委员会的认定结论和处理建议，结合行为性质和情节轻重，依职权和规定程序对学术不端行为责任人</w:t>
      </w:r>
      <w:proofErr w:type="gramStart"/>
      <w:r>
        <w:rPr>
          <w:rFonts w:ascii="仿宋" w:eastAsia="仿宋" w:hAnsi="仿宋" w:cs="仿宋" w:hint="eastAsia"/>
          <w:color w:val="333333"/>
          <w:sz w:val="28"/>
          <w:szCs w:val="28"/>
          <w:shd w:val="clear" w:color="auto" w:fill="FFFFFF"/>
        </w:rPr>
        <w:t>作出</w:t>
      </w:r>
      <w:proofErr w:type="gramEnd"/>
      <w:r>
        <w:rPr>
          <w:rFonts w:ascii="仿宋" w:eastAsia="仿宋" w:hAnsi="仿宋" w:cs="仿宋" w:hint="eastAsia"/>
          <w:color w:val="333333"/>
          <w:sz w:val="28"/>
          <w:szCs w:val="28"/>
          <w:shd w:val="clear" w:color="auto" w:fill="FFFFFF"/>
        </w:rPr>
        <w:t>如下处理：</w:t>
      </w:r>
    </w:p>
    <w:p w14:paraId="455543E5"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（一）通报批评；</w:t>
      </w:r>
    </w:p>
    <w:p w14:paraId="731A8626"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（二）终止或者撤销相关的科研项目，并在一定期限内取消申请资格；</w:t>
      </w:r>
    </w:p>
    <w:p w14:paraId="5B995777"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（三）撤销学术奖励或者荣誉称号；</w:t>
      </w:r>
    </w:p>
    <w:p w14:paraId="24BD4D38"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（四）辞退或解聘；</w:t>
      </w:r>
    </w:p>
    <w:p w14:paraId="0D4820C8"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（五）法律、法规及规章规定的其他处理措施。</w:t>
      </w:r>
    </w:p>
    <w:p w14:paraId="231E5E6B" w14:textId="77777777" w:rsidR="0010196A" w:rsidRDefault="000E5F18">
      <w:pPr>
        <w:pStyle w:val="a3"/>
        <w:widowControl/>
        <w:shd w:val="clear" w:color="auto" w:fill="FFFFFF"/>
        <w:spacing w:beforeAutospacing="0" w:after="60" w:afterAutospacing="0" w:line="500" w:lineRule="exact"/>
        <w:ind w:firstLineChars="200" w:firstLine="560"/>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同时，可以依照有关规定，给予警告、记过、降低岗位等级或者撤职、开除等处分。</w:t>
      </w:r>
    </w:p>
    <w:p w14:paraId="5F18E677"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lastRenderedPageBreak/>
        <w:t xml:space="preserve">　　学术不端行为责任人获得有关部门、机构设立的科研项目、学术奖励或者荣誉称号等利益的，学校应当同时向有关主管部门提出处理建议。</w:t>
      </w:r>
    </w:p>
    <w:p w14:paraId="594E5AE4"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学生有学术不端行为的，还应当按照学生管理的相关规定，给予相应的学籍处分。</w:t>
      </w:r>
    </w:p>
    <w:p w14:paraId="2E01B9BE"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学术不端行为与获得学位有直接关联的，由学位授予单位作暂缓授予学位、不授予学位或者依法撤销学位等处理。</w:t>
      </w:r>
    </w:p>
    <w:p w14:paraId="133F6A7E"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第三十条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高等学校对学术不端行为</w:t>
      </w:r>
      <w:proofErr w:type="gramStart"/>
      <w:r>
        <w:rPr>
          <w:rFonts w:ascii="仿宋" w:eastAsia="仿宋" w:hAnsi="仿宋" w:cs="仿宋" w:hint="eastAsia"/>
          <w:color w:val="333333"/>
          <w:sz w:val="28"/>
          <w:szCs w:val="28"/>
          <w:shd w:val="clear" w:color="auto" w:fill="FFFFFF"/>
        </w:rPr>
        <w:t>作出</w:t>
      </w:r>
      <w:proofErr w:type="gramEnd"/>
      <w:r>
        <w:rPr>
          <w:rFonts w:ascii="仿宋" w:eastAsia="仿宋" w:hAnsi="仿宋" w:cs="仿宋" w:hint="eastAsia"/>
          <w:color w:val="333333"/>
          <w:sz w:val="28"/>
          <w:szCs w:val="28"/>
          <w:shd w:val="clear" w:color="auto" w:fill="FFFFFF"/>
        </w:rPr>
        <w:t>处理决定，应当制作处理决定书，载明以下内容：</w:t>
      </w:r>
    </w:p>
    <w:p w14:paraId="02E52DA8"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（一）责任人的基本情况；</w:t>
      </w:r>
    </w:p>
    <w:p w14:paraId="2D153D41"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（二）经查证的学术不端行为事实；</w:t>
      </w:r>
    </w:p>
    <w:p w14:paraId="22DBBB70"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（三）处理意见和依据；</w:t>
      </w:r>
    </w:p>
    <w:p w14:paraId="62B2737A"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（四）救济途径和期限；</w:t>
      </w:r>
    </w:p>
    <w:p w14:paraId="73050D92"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（五）其他必要内容。</w:t>
      </w:r>
    </w:p>
    <w:p w14:paraId="23E69CB7"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第三十一条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经调查认定，不构成学术不端行为的，根据被举报人申请，高等学校应当通过一定方式为其消除影响、恢复名誉等。</w:t>
      </w:r>
    </w:p>
    <w:p w14:paraId="6116E9ED"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调查处理过程中，发现举报人存在捏造事实、诬告陷</w:t>
      </w:r>
      <w:r>
        <w:rPr>
          <w:rFonts w:ascii="仿宋" w:eastAsia="仿宋" w:hAnsi="仿宋" w:cs="仿宋" w:hint="eastAsia"/>
          <w:color w:val="333333"/>
          <w:sz w:val="28"/>
          <w:szCs w:val="28"/>
          <w:shd w:val="clear" w:color="auto" w:fill="FFFFFF"/>
        </w:rPr>
        <w:t>害等行为的，应当认定为举报不实或者虚假举报，举报人应当承担相应责任。属于本单位人员的，高等学校应当按照有关规定给</w:t>
      </w:r>
      <w:proofErr w:type="gramStart"/>
      <w:r>
        <w:rPr>
          <w:rFonts w:ascii="仿宋" w:eastAsia="仿宋" w:hAnsi="仿宋" w:cs="仿宋" w:hint="eastAsia"/>
          <w:color w:val="333333"/>
          <w:sz w:val="28"/>
          <w:szCs w:val="28"/>
          <w:shd w:val="clear" w:color="auto" w:fill="FFFFFF"/>
        </w:rPr>
        <w:t>予处理</w:t>
      </w:r>
      <w:proofErr w:type="gramEnd"/>
      <w:r>
        <w:rPr>
          <w:rFonts w:ascii="仿宋" w:eastAsia="仿宋" w:hAnsi="仿宋" w:cs="仿宋" w:hint="eastAsia"/>
          <w:color w:val="333333"/>
          <w:sz w:val="28"/>
          <w:szCs w:val="28"/>
          <w:shd w:val="clear" w:color="auto" w:fill="FFFFFF"/>
        </w:rPr>
        <w:t>；不属于本单位人员的，应通报其所在单位，并提出处理建议。</w:t>
      </w:r>
    </w:p>
    <w:p w14:paraId="471913F2"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第三十二条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参与举报受理、调查和处理的人员违反保密等规定，造成不良影响的，按照有关规定给予处分或其他处理。</w:t>
      </w:r>
    </w:p>
    <w:p w14:paraId="281F0581" w14:textId="77777777" w:rsidR="0010196A" w:rsidRDefault="0010196A">
      <w:pPr>
        <w:pStyle w:val="a3"/>
        <w:widowControl/>
        <w:shd w:val="clear" w:color="auto" w:fill="FFFFFF"/>
        <w:spacing w:beforeAutospacing="0" w:after="60" w:afterAutospacing="0" w:line="500" w:lineRule="exact"/>
        <w:rPr>
          <w:rFonts w:ascii="仿宋" w:eastAsia="仿宋" w:hAnsi="仿宋" w:cs="仿宋"/>
          <w:color w:val="333333"/>
          <w:sz w:val="28"/>
          <w:szCs w:val="28"/>
        </w:rPr>
      </w:pPr>
    </w:p>
    <w:p w14:paraId="4922F07E" w14:textId="77777777" w:rsidR="0010196A" w:rsidRDefault="0010196A">
      <w:pPr>
        <w:pStyle w:val="a3"/>
        <w:widowControl/>
        <w:shd w:val="clear" w:color="auto" w:fill="FFFFFF"/>
        <w:spacing w:beforeAutospacing="0" w:after="60" w:afterAutospacing="0" w:line="500" w:lineRule="exact"/>
        <w:rPr>
          <w:rFonts w:ascii="仿宋" w:eastAsia="仿宋" w:hAnsi="仿宋" w:cs="仿宋"/>
          <w:color w:val="333333"/>
          <w:sz w:val="28"/>
          <w:szCs w:val="28"/>
        </w:rPr>
      </w:pPr>
    </w:p>
    <w:p w14:paraId="5C70E850" w14:textId="77777777" w:rsidR="0010196A" w:rsidRDefault="0010196A">
      <w:pPr>
        <w:pStyle w:val="a3"/>
        <w:widowControl/>
        <w:shd w:val="clear" w:color="auto" w:fill="FFFFFF"/>
        <w:spacing w:beforeAutospacing="0" w:after="60" w:afterAutospacing="0" w:line="500" w:lineRule="exact"/>
        <w:rPr>
          <w:rFonts w:ascii="仿宋" w:eastAsia="仿宋" w:hAnsi="仿宋" w:cs="仿宋"/>
          <w:color w:val="333333"/>
          <w:sz w:val="28"/>
          <w:szCs w:val="28"/>
        </w:rPr>
      </w:pPr>
    </w:p>
    <w:p w14:paraId="728D3D65" w14:textId="77777777" w:rsidR="0010196A" w:rsidRDefault="0010196A">
      <w:pPr>
        <w:pStyle w:val="a3"/>
        <w:widowControl/>
        <w:shd w:val="clear" w:color="auto" w:fill="FFFFFF"/>
        <w:spacing w:beforeAutospacing="0" w:after="60" w:afterAutospacing="0" w:line="500" w:lineRule="exact"/>
        <w:rPr>
          <w:rFonts w:ascii="仿宋" w:eastAsia="仿宋" w:hAnsi="仿宋" w:cs="仿宋"/>
          <w:color w:val="333333"/>
          <w:sz w:val="28"/>
          <w:szCs w:val="28"/>
        </w:rPr>
      </w:pPr>
    </w:p>
    <w:p w14:paraId="2F7940F5" w14:textId="77777777" w:rsidR="0010196A" w:rsidRDefault="000E5F18">
      <w:pPr>
        <w:pStyle w:val="a3"/>
        <w:widowControl/>
        <w:shd w:val="clear" w:color="auto" w:fill="FFFFFF"/>
        <w:spacing w:beforeAutospacing="0" w:after="60" w:afterAutospacing="0" w:line="500" w:lineRule="exact"/>
        <w:jc w:val="center"/>
        <w:rPr>
          <w:rFonts w:ascii="仿宋" w:eastAsia="仿宋" w:hAnsi="仿宋" w:cs="仿宋"/>
          <w:color w:val="333333"/>
          <w:sz w:val="28"/>
          <w:szCs w:val="28"/>
        </w:rPr>
      </w:pPr>
      <w:r>
        <w:rPr>
          <w:rFonts w:ascii="黑体" w:eastAsia="黑体" w:hAnsi="黑体" w:cs="黑体" w:hint="eastAsia"/>
          <w:color w:val="333333"/>
          <w:sz w:val="30"/>
          <w:szCs w:val="30"/>
          <w:shd w:val="clear" w:color="auto" w:fill="FFFFFF"/>
        </w:rPr>
        <w:lastRenderedPageBreak/>
        <w:t>第六章复核</w:t>
      </w:r>
    </w:p>
    <w:p w14:paraId="59BDB4D2"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第三十三条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举报人或者学术不端行为责任人对处理决定不服的，可以在收到处理决定之日起</w:t>
      </w:r>
      <w:r>
        <w:rPr>
          <w:rFonts w:ascii="仿宋" w:eastAsia="仿宋" w:hAnsi="仿宋" w:cs="仿宋" w:hint="eastAsia"/>
          <w:color w:val="333333"/>
          <w:sz w:val="28"/>
          <w:szCs w:val="28"/>
          <w:shd w:val="clear" w:color="auto" w:fill="FFFFFF"/>
        </w:rPr>
        <w:t>30</w:t>
      </w:r>
      <w:r>
        <w:rPr>
          <w:rFonts w:ascii="仿宋" w:eastAsia="仿宋" w:hAnsi="仿宋" w:cs="仿宋" w:hint="eastAsia"/>
          <w:color w:val="333333"/>
          <w:sz w:val="28"/>
          <w:szCs w:val="28"/>
          <w:shd w:val="clear" w:color="auto" w:fill="FFFFFF"/>
        </w:rPr>
        <w:t>日内，以书面形式向高等学校提出异议或者复核申请。</w:t>
      </w:r>
    </w:p>
    <w:p w14:paraId="5DCEB082"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异议和复核不影响处理决定的执行。</w:t>
      </w:r>
    </w:p>
    <w:p w14:paraId="5D564B5C"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第三十四条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高等学校收到异议或者复核申请后，应当交由学术委员会组织讨论，并于</w:t>
      </w:r>
      <w:r>
        <w:rPr>
          <w:rFonts w:ascii="仿宋" w:eastAsia="仿宋" w:hAnsi="仿宋" w:cs="仿宋" w:hint="eastAsia"/>
          <w:color w:val="333333"/>
          <w:sz w:val="28"/>
          <w:szCs w:val="28"/>
          <w:shd w:val="clear" w:color="auto" w:fill="FFFFFF"/>
        </w:rPr>
        <w:t>15</w:t>
      </w:r>
      <w:r>
        <w:rPr>
          <w:rFonts w:ascii="仿宋" w:eastAsia="仿宋" w:hAnsi="仿宋" w:cs="仿宋" w:hint="eastAsia"/>
          <w:color w:val="333333"/>
          <w:sz w:val="28"/>
          <w:szCs w:val="28"/>
          <w:shd w:val="clear" w:color="auto" w:fill="FFFFFF"/>
        </w:rPr>
        <w:t>日内</w:t>
      </w:r>
      <w:proofErr w:type="gramStart"/>
      <w:r>
        <w:rPr>
          <w:rFonts w:ascii="仿宋" w:eastAsia="仿宋" w:hAnsi="仿宋" w:cs="仿宋" w:hint="eastAsia"/>
          <w:color w:val="333333"/>
          <w:sz w:val="28"/>
          <w:szCs w:val="28"/>
          <w:shd w:val="clear" w:color="auto" w:fill="FFFFFF"/>
        </w:rPr>
        <w:t>作出</w:t>
      </w:r>
      <w:proofErr w:type="gramEnd"/>
      <w:r>
        <w:rPr>
          <w:rFonts w:ascii="仿宋" w:eastAsia="仿宋" w:hAnsi="仿宋" w:cs="仿宋" w:hint="eastAsia"/>
          <w:color w:val="333333"/>
          <w:sz w:val="28"/>
          <w:szCs w:val="28"/>
          <w:shd w:val="clear" w:color="auto" w:fill="FFFFFF"/>
        </w:rPr>
        <w:t>是否受理的决定。</w:t>
      </w:r>
    </w:p>
    <w:p w14:paraId="5295E3FC"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决定受理的，学校或者学术委员会可以另行组织调查组或者委托第三方机构进行调查；决定不予受理的，应当书面通知当事人。</w:t>
      </w:r>
    </w:p>
    <w:p w14:paraId="5B581309"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第三十五条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当事人对复核决定不服，仍以同一事实和理由提出异议或者申请复核的，不予受理；向有关主管部门提出申诉的，按照相关规定执行。</w:t>
      </w:r>
    </w:p>
    <w:p w14:paraId="5CDF2DF7" w14:textId="77777777" w:rsidR="0010196A" w:rsidRDefault="0010196A">
      <w:pPr>
        <w:pStyle w:val="a3"/>
        <w:widowControl/>
        <w:shd w:val="clear" w:color="auto" w:fill="FFFFFF"/>
        <w:spacing w:beforeAutospacing="0" w:after="60" w:afterAutospacing="0" w:line="500" w:lineRule="exact"/>
        <w:rPr>
          <w:rFonts w:ascii="仿宋" w:eastAsia="仿宋" w:hAnsi="仿宋" w:cs="仿宋"/>
          <w:color w:val="333333"/>
          <w:sz w:val="28"/>
          <w:szCs w:val="28"/>
        </w:rPr>
      </w:pPr>
    </w:p>
    <w:p w14:paraId="78F33392" w14:textId="77777777" w:rsidR="0010196A" w:rsidRDefault="000E5F18">
      <w:pPr>
        <w:pStyle w:val="a3"/>
        <w:widowControl/>
        <w:shd w:val="clear" w:color="auto" w:fill="FFFFFF"/>
        <w:spacing w:beforeAutospacing="0" w:after="60" w:afterAutospacing="0" w:line="500" w:lineRule="exact"/>
        <w:jc w:val="center"/>
        <w:rPr>
          <w:rFonts w:ascii="仿宋" w:eastAsia="仿宋" w:hAnsi="仿宋" w:cs="仿宋"/>
          <w:color w:val="333333"/>
          <w:sz w:val="28"/>
          <w:szCs w:val="28"/>
        </w:rPr>
      </w:pPr>
      <w:r>
        <w:rPr>
          <w:rFonts w:ascii="黑体" w:eastAsia="黑体" w:hAnsi="黑体" w:cs="黑体" w:hint="eastAsia"/>
          <w:color w:val="333333"/>
          <w:sz w:val="30"/>
          <w:szCs w:val="30"/>
          <w:shd w:val="clear" w:color="auto" w:fill="FFFFFF"/>
        </w:rPr>
        <w:t>第七章监督</w:t>
      </w:r>
    </w:p>
    <w:p w14:paraId="250E55E3"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第三十六条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高等学校应当按年度发布学风建设工作报告，并向社会公开，接受社会监督。</w:t>
      </w:r>
    </w:p>
    <w:p w14:paraId="3201A408"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第三十七条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高等学校处理学术不端行为推诿塞责、隐瞒包庇、查处不力的，主管部门可以直接组织或者委托相关机构查处。</w:t>
      </w:r>
    </w:p>
    <w:p w14:paraId="03FE9416"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第三十八条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高等学校对本校发生的学术不端行为，未能及时查处并做出公正结论，造成恶劣影响的，主管部门应当追究相关领导的责任，并进行通报。</w:t>
      </w:r>
    </w:p>
    <w:p w14:paraId="5883C6EA"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高等学校为获得相关利益，有组织实施学术不端行为的，主管部门调查确认后，应当撤销高等学校由此获得的相关权利、项目以及其他利益，并追究学校主要负责人、直接负责人的责任。</w:t>
      </w:r>
    </w:p>
    <w:p w14:paraId="5272DE51" w14:textId="77777777" w:rsidR="0010196A" w:rsidRDefault="0010196A">
      <w:pPr>
        <w:pStyle w:val="a3"/>
        <w:widowControl/>
        <w:shd w:val="clear" w:color="auto" w:fill="FFFFFF"/>
        <w:spacing w:beforeAutospacing="0" w:after="60" w:afterAutospacing="0" w:line="500" w:lineRule="exact"/>
        <w:rPr>
          <w:rFonts w:ascii="仿宋" w:eastAsia="仿宋" w:hAnsi="仿宋" w:cs="仿宋"/>
          <w:color w:val="333333"/>
          <w:sz w:val="28"/>
          <w:szCs w:val="28"/>
        </w:rPr>
      </w:pPr>
    </w:p>
    <w:p w14:paraId="1BC7A511" w14:textId="77777777" w:rsidR="0010196A" w:rsidRDefault="0010196A">
      <w:pPr>
        <w:pStyle w:val="a3"/>
        <w:widowControl/>
        <w:shd w:val="clear" w:color="auto" w:fill="FFFFFF"/>
        <w:spacing w:beforeAutospacing="0" w:after="60" w:afterAutospacing="0" w:line="500" w:lineRule="exact"/>
        <w:rPr>
          <w:rFonts w:ascii="仿宋" w:eastAsia="仿宋" w:hAnsi="仿宋" w:cs="仿宋"/>
          <w:color w:val="333333"/>
          <w:sz w:val="28"/>
          <w:szCs w:val="28"/>
        </w:rPr>
      </w:pPr>
    </w:p>
    <w:p w14:paraId="55143645" w14:textId="77777777" w:rsidR="0010196A" w:rsidRDefault="000E5F18">
      <w:pPr>
        <w:pStyle w:val="a3"/>
        <w:widowControl/>
        <w:shd w:val="clear" w:color="auto" w:fill="FFFFFF"/>
        <w:spacing w:beforeAutospacing="0" w:after="60" w:afterAutospacing="0" w:line="500" w:lineRule="exact"/>
        <w:jc w:val="center"/>
        <w:rPr>
          <w:rFonts w:ascii="仿宋" w:eastAsia="仿宋" w:hAnsi="仿宋" w:cs="仿宋"/>
          <w:color w:val="333333"/>
          <w:sz w:val="28"/>
          <w:szCs w:val="28"/>
        </w:rPr>
      </w:pPr>
      <w:r>
        <w:rPr>
          <w:rFonts w:ascii="黑体" w:eastAsia="黑体" w:hAnsi="黑体" w:cs="黑体" w:hint="eastAsia"/>
          <w:color w:val="333333"/>
          <w:sz w:val="30"/>
          <w:szCs w:val="30"/>
          <w:shd w:val="clear" w:color="auto" w:fill="FFFFFF"/>
        </w:rPr>
        <w:lastRenderedPageBreak/>
        <w:t>第八章附则</w:t>
      </w:r>
    </w:p>
    <w:p w14:paraId="0372DEA5"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第三十九条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高等学校应当根据本办法，结合学校实际和学科特点，制定本校学术不端行为查处规则及处理办法，明确各类学术不端行为的惩处标准。有关规则应当经学校学术委员会和教职工代表大会讨论通过。</w:t>
      </w:r>
    </w:p>
    <w:p w14:paraId="68D410CB"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第四十条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高等学校主管部门对直接受理的学术不端案件，可自行组织调查组或者指定、委托高等学校、有关机构组织调查、认定。对学术不端行为责任人的处理，根据本办法及国家有关规定执行。</w:t>
      </w:r>
    </w:p>
    <w:p w14:paraId="2A952612"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教育系统所属科研机构及其他单位有关人员学术不端行为的调查与处理，可参照本办法执行。</w:t>
      </w:r>
    </w:p>
    <w:p w14:paraId="36E250B7"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w:t>
      </w:r>
      <w:r>
        <w:rPr>
          <w:rFonts w:ascii="仿宋" w:eastAsia="仿宋" w:hAnsi="仿宋" w:cs="仿宋" w:hint="eastAsia"/>
          <w:b/>
          <w:bCs/>
          <w:color w:val="333333"/>
          <w:sz w:val="30"/>
          <w:szCs w:val="30"/>
          <w:shd w:val="clear" w:color="auto" w:fill="FFFFFF"/>
        </w:rPr>
        <w:t>第四十一条</w:t>
      </w:r>
      <w:r>
        <w:rPr>
          <w:rFonts w:ascii="仿宋" w:eastAsia="仿宋" w:hAnsi="仿宋" w:cs="仿宋" w:hint="eastAsia"/>
          <w:color w:val="333333"/>
          <w:sz w:val="28"/>
          <w:szCs w:val="28"/>
          <w:shd w:val="clear" w:color="auto" w:fill="FFFFFF"/>
        </w:rPr>
        <w:t xml:space="preserve"> </w:t>
      </w:r>
      <w:r>
        <w:rPr>
          <w:rFonts w:ascii="仿宋" w:eastAsia="仿宋" w:hAnsi="仿宋" w:cs="仿宋" w:hint="eastAsia"/>
          <w:color w:val="333333"/>
          <w:sz w:val="28"/>
          <w:szCs w:val="28"/>
          <w:shd w:val="clear" w:color="auto" w:fill="FFFFFF"/>
        </w:rPr>
        <w:t>本办法自</w:t>
      </w:r>
      <w:r>
        <w:rPr>
          <w:rFonts w:ascii="仿宋" w:eastAsia="仿宋" w:hAnsi="仿宋" w:cs="仿宋" w:hint="eastAsia"/>
          <w:color w:val="333333"/>
          <w:sz w:val="28"/>
          <w:szCs w:val="28"/>
          <w:shd w:val="clear" w:color="auto" w:fill="FFFFFF"/>
        </w:rPr>
        <w:t>2016</w:t>
      </w:r>
      <w:r>
        <w:rPr>
          <w:rFonts w:ascii="仿宋" w:eastAsia="仿宋" w:hAnsi="仿宋" w:cs="仿宋" w:hint="eastAsia"/>
          <w:color w:val="333333"/>
          <w:sz w:val="28"/>
          <w:szCs w:val="28"/>
          <w:shd w:val="clear" w:color="auto" w:fill="FFFFFF"/>
        </w:rPr>
        <w:t>年</w:t>
      </w:r>
      <w:r>
        <w:rPr>
          <w:rFonts w:ascii="仿宋" w:eastAsia="仿宋" w:hAnsi="仿宋" w:cs="仿宋" w:hint="eastAsia"/>
          <w:color w:val="333333"/>
          <w:sz w:val="28"/>
          <w:szCs w:val="28"/>
          <w:shd w:val="clear" w:color="auto" w:fill="FFFFFF"/>
        </w:rPr>
        <w:t>9</w:t>
      </w:r>
      <w:r>
        <w:rPr>
          <w:rFonts w:ascii="仿宋" w:eastAsia="仿宋" w:hAnsi="仿宋" w:cs="仿宋" w:hint="eastAsia"/>
          <w:color w:val="333333"/>
          <w:sz w:val="28"/>
          <w:szCs w:val="28"/>
          <w:shd w:val="clear" w:color="auto" w:fill="FFFFFF"/>
        </w:rPr>
        <w:t>月</w:t>
      </w:r>
      <w:r>
        <w:rPr>
          <w:rFonts w:ascii="仿宋" w:eastAsia="仿宋" w:hAnsi="仿宋" w:cs="仿宋" w:hint="eastAsia"/>
          <w:color w:val="333333"/>
          <w:sz w:val="28"/>
          <w:szCs w:val="28"/>
          <w:shd w:val="clear" w:color="auto" w:fill="FFFFFF"/>
        </w:rPr>
        <w:t>1</w:t>
      </w:r>
      <w:r>
        <w:rPr>
          <w:rFonts w:ascii="仿宋" w:eastAsia="仿宋" w:hAnsi="仿宋" w:cs="仿宋" w:hint="eastAsia"/>
          <w:color w:val="333333"/>
          <w:sz w:val="28"/>
          <w:szCs w:val="28"/>
          <w:shd w:val="clear" w:color="auto" w:fill="FFFFFF"/>
        </w:rPr>
        <w:t>日起施行。</w:t>
      </w:r>
    </w:p>
    <w:p w14:paraId="233F3D98" w14:textId="77777777" w:rsidR="0010196A" w:rsidRDefault="000E5F18">
      <w:pPr>
        <w:pStyle w:val="a3"/>
        <w:widowControl/>
        <w:shd w:val="clear" w:color="auto" w:fill="FFFFFF"/>
        <w:spacing w:beforeAutospacing="0" w:after="60" w:afterAutospacing="0" w:line="500" w:lineRule="exact"/>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 xml:space="preserve">　　教育部此前发布的有关规章、文件中的相关规定与本办法不一致的，以本办法为准。</w:t>
      </w:r>
    </w:p>
    <w:p w14:paraId="4C2AC423" w14:textId="77777777" w:rsidR="0010196A" w:rsidRDefault="0010196A"/>
    <w:sectPr w:rsidR="0010196A">
      <w:pgSz w:w="11850" w:h="16783"/>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32464" w14:textId="77777777" w:rsidR="000E5F18" w:rsidRDefault="000E5F18" w:rsidP="006C4DC0">
      <w:r>
        <w:separator/>
      </w:r>
    </w:p>
  </w:endnote>
  <w:endnote w:type="continuationSeparator" w:id="0">
    <w:p w14:paraId="4A091DFA" w14:textId="77777777" w:rsidR="000E5F18" w:rsidRDefault="000E5F18" w:rsidP="006C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62046" w14:textId="77777777" w:rsidR="000E5F18" w:rsidRDefault="000E5F18" w:rsidP="006C4DC0">
      <w:r>
        <w:separator/>
      </w:r>
    </w:p>
  </w:footnote>
  <w:footnote w:type="continuationSeparator" w:id="0">
    <w:p w14:paraId="2B72D576" w14:textId="77777777" w:rsidR="000E5F18" w:rsidRDefault="000E5F18" w:rsidP="006C4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7610EAC"/>
    <w:rsid w:val="000E5F18"/>
    <w:rsid w:val="0010196A"/>
    <w:rsid w:val="006C4DC0"/>
    <w:rsid w:val="3D067FB2"/>
    <w:rsid w:val="41A441D1"/>
    <w:rsid w:val="54E57AA3"/>
    <w:rsid w:val="67610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193C53"/>
  <w15:docId w15:val="{3B03B89A-D002-44DA-BD5C-171C4772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customStyle="1" w:styleId="3">
    <w:name w:val="样式3"/>
    <w:basedOn w:val="a"/>
    <w:qFormat/>
  </w:style>
  <w:style w:type="paragraph" w:styleId="a4">
    <w:name w:val="header"/>
    <w:basedOn w:val="a"/>
    <w:link w:val="a5"/>
    <w:rsid w:val="006C4DC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6C4DC0"/>
    <w:rPr>
      <w:rFonts w:asciiTheme="minorHAnsi" w:eastAsiaTheme="minorEastAsia" w:hAnsiTheme="minorHAnsi" w:cstheme="minorBidi"/>
      <w:kern w:val="2"/>
      <w:sz w:val="18"/>
      <w:szCs w:val="18"/>
    </w:rPr>
  </w:style>
  <w:style w:type="paragraph" w:styleId="a6">
    <w:name w:val="footer"/>
    <w:basedOn w:val="a"/>
    <w:link w:val="a7"/>
    <w:rsid w:val="006C4DC0"/>
    <w:pPr>
      <w:tabs>
        <w:tab w:val="center" w:pos="4153"/>
        <w:tab w:val="right" w:pos="8306"/>
      </w:tabs>
      <w:snapToGrid w:val="0"/>
      <w:jc w:val="left"/>
    </w:pPr>
    <w:rPr>
      <w:sz w:val="18"/>
      <w:szCs w:val="18"/>
    </w:rPr>
  </w:style>
  <w:style w:type="character" w:customStyle="1" w:styleId="a7">
    <w:name w:val="页脚 字符"/>
    <w:basedOn w:val="a0"/>
    <w:link w:val="a6"/>
    <w:rsid w:val="006C4DC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694</Words>
  <Characters>3960</Characters>
  <Application>Microsoft Office Word</Application>
  <DocSecurity>0</DocSecurity>
  <Lines>33</Lines>
  <Paragraphs>9</Paragraphs>
  <ScaleCrop>false</ScaleCrop>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娜 卞</cp:lastModifiedBy>
  <cp:revision>2</cp:revision>
  <dcterms:created xsi:type="dcterms:W3CDTF">2020-09-23T03:50:00Z</dcterms:created>
  <dcterms:modified xsi:type="dcterms:W3CDTF">2020-09-23T03:50:00Z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