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0649">
      <w:pPr>
        <w:spacing w:line="576" w:lineRule="exact"/>
        <w:jc w:val="left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</w:rPr>
        <w:t>附件</w:t>
      </w:r>
      <w:r>
        <w:rPr>
          <w:rFonts w:hint="eastAsia" w:ascii="仿宋_GB2312" w:hAnsi="仿宋"/>
          <w:sz w:val="32"/>
          <w:szCs w:val="32"/>
          <w:lang w:val="en-US" w:eastAsia="zh-CN"/>
        </w:rPr>
        <w:t>5</w:t>
      </w:r>
    </w:p>
    <w:p w14:paraId="2225A2AD">
      <w:pPr>
        <w:spacing w:line="576" w:lineRule="exact"/>
        <w:ind w:firstLine="3092" w:firstLineChars="70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案例参考格式</w:t>
      </w:r>
    </w:p>
    <w:p w14:paraId="12634CA9">
      <w:pPr>
        <w:spacing w:line="576" w:lineRule="exact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（一级标题宋体四号加黑、二级标题宋体小四号加黑、正文宋体小四号，总字数3000-6000）</w:t>
      </w:r>
    </w:p>
    <w:p w14:paraId="47BABC9E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课程名称：</w:t>
      </w:r>
    </w:p>
    <w:p w14:paraId="715584DE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案例题目：</w:t>
      </w:r>
    </w:p>
    <w:p w14:paraId="3A690A85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教师姓名、所在</w:t>
      </w:r>
      <w:r>
        <w:rPr>
          <w:rFonts w:hint="eastAsia" w:ascii="仿宋_GB2312" w:hAnsi="仿宋"/>
          <w:sz w:val="32"/>
          <w:szCs w:val="32"/>
          <w:lang w:val="en-US" w:eastAsia="zh-CN"/>
        </w:rPr>
        <w:t>学院</w:t>
      </w:r>
      <w:r>
        <w:rPr>
          <w:rFonts w:hint="eastAsia" w:ascii="仿宋_GB2312" w:hAnsi="仿宋"/>
          <w:sz w:val="32"/>
          <w:szCs w:val="32"/>
        </w:rPr>
        <w:t>：</w:t>
      </w:r>
    </w:p>
    <w:p w14:paraId="7624CA76">
      <w:pPr>
        <w:spacing w:line="576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一、案例简介</w:t>
      </w:r>
    </w:p>
    <w:p w14:paraId="0B3BB90D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课程和案例的基本情况，思政内容融入情况，课程思政改革教学实践情况，案例选用意义等</w:t>
      </w:r>
    </w:p>
    <w:p w14:paraId="6919324C">
      <w:pPr>
        <w:spacing w:line="576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二、思路与目标</w:t>
      </w:r>
    </w:p>
    <w:p w14:paraId="2AD142AE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拟解决的主要问题，课程思政教学改革的理念和思路，知识、能力、素质目标的设定和达成等</w:t>
      </w:r>
    </w:p>
    <w:p w14:paraId="1633CBEC">
      <w:pPr>
        <w:spacing w:line="576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三、教学设计</w:t>
      </w:r>
    </w:p>
    <w:p w14:paraId="3D047D13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融入课程思政的教学内容和资源，教学环节的设计，教学方法和手段，考核评价方式，教学过程的组织与实施等</w:t>
      </w:r>
    </w:p>
    <w:p w14:paraId="487317C8">
      <w:pPr>
        <w:spacing w:line="576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四、特色与创新</w:t>
      </w:r>
    </w:p>
    <w:p w14:paraId="12F10CBE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课程思政改革的特色和创新之处</w:t>
      </w:r>
    </w:p>
    <w:p w14:paraId="6DD9CCA8">
      <w:pPr>
        <w:spacing w:line="576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五、教学反思</w:t>
      </w:r>
    </w:p>
    <w:p w14:paraId="23101CB4">
      <w:pPr>
        <w:spacing w:line="576" w:lineRule="exact"/>
        <w:ind w:firstLine="640" w:firstLineChars="2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课程思政教学改革的实施效果及成果，存在的实际困难和问题，今后的改进思路和注意事项等</w:t>
      </w:r>
    </w:p>
    <w:p w14:paraId="2E20E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C33DF"/>
    <w:rsid w:val="29E241F4"/>
    <w:rsid w:val="3CEC33DF"/>
    <w:rsid w:val="4F5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lancelot</dc:creator>
  <cp:lastModifiedBy>lancelot</cp:lastModifiedBy>
  <dcterms:modified xsi:type="dcterms:W3CDTF">2025-04-18T07:20:25Z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284A87E89E6D4970B309D91AB9AD57A8_11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