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1502" w:rsidRPr="00651502" w:rsidRDefault="00651502" w:rsidP="00651502">
      <w:pPr>
        <w:spacing w:line="360" w:lineRule="auto"/>
        <w:jc w:val="center"/>
        <w:rPr>
          <w:b/>
          <w:bCs/>
          <w:sz w:val="24"/>
        </w:rPr>
      </w:pPr>
      <w:r w:rsidRPr="00651502">
        <w:rPr>
          <w:rFonts w:hint="eastAsia"/>
          <w:b/>
          <w:bCs/>
          <w:sz w:val="24"/>
        </w:rPr>
        <w:t>教育部办公厅关于做好扩招后高职教育教学管理工作的指导意见</w:t>
      </w:r>
    </w:p>
    <w:p w:rsidR="00651502" w:rsidRPr="00651502" w:rsidRDefault="00651502" w:rsidP="00651502">
      <w:pPr>
        <w:spacing w:line="360" w:lineRule="auto"/>
        <w:jc w:val="right"/>
        <w:rPr>
          <w:rFonts w:hint="eastAsia"/>
          <w:sz w:val="24"/>
        </w:rPr>
      </w:pPr>
      <w:r w:rsidRPr="00651502">
        <w:rPr>
          <w:rFonts w:hint="eastAsia"/>
          <w:sz w:val="24"/>
        </w:rPr>
        <w:t>教职</w:t>
      </w:r>
      <w:proofErr w:type="gramStart"/>
      <w:r w:rsidRPr="00651502">
        <w:rPr>
          <w:rFonts w:hint="eastAsia"/>
          <w:sz w:val="24"/>
        </w:rPr>
        <w:t>成厅函</w:t>
      </w:r>
      <w:proofErr w:type="gramEnd"/>
      <w:r w:rsidRPr="00651502">
        <w:rPr>
          <w:rFonts w:hint="eastAsia"/>
          <w:sz w:val="24"/>
        </w:rPr>
        <w:t>〔</w:t>
      </w:r>
      <w:r w:rsidRPr="00651502">
        <w:rPr>
          <w:rFonts w:hint="eastAsia"/>
          <w:sz w:val="24"/>
        </w:rPr>
        <w:t>2019</w:t>
      </w:r>
      <w:r w:rsidRPr="00651502">
        <w:rPr>
          <w:rFonts w:hint="eastAsia"/>
          <w:sz w:val="24"/>
        </w:rPr>
        <w:t>〕</w:t>
      </w:r>
      <w:r w:rsidRPr="00651502">
        <w:rPr>
          <w:rFonts w:hint="eastAsia"/>
          <w:sz w:val="24"/>
        </w:rPr>
        <w:t>20</w:t>
      </w:r>
      <w:r w:rsidRPr="00651502">
        <w:rPr>
          <w:rFonts w:hint="eastAsia"/>
          <w:sz w:val="24"/>
        </w:rPr>
        <w:t>号</w:t>
      </w:r>
    </w:p>
    <w:p w:rsidR="00651502" w:rsidRPr="00651502" w:rsidRDefault="00651502" w:rsidP="00651502">
      <w:pPr>
        <w:spacing w:line="360" w:lineRule="auto"/>
        <w:rPr>
          <w:rFonts w:hint="eastAsia"/>
          <w:sz w:val="24"/>
        </w:rPr>
      </w:pPr>
    </w:p>
    <w:p w:rsidR="00651502" w:rsidRPr="00651502" w:rsidRDefault="00651502" w:rsidP="00651502">
      <w:pPr>
        <w:spacing w:line="360" w:lineRule="auto"/>
        <w:rPr>
          <w:rFonts w:hint="eastAsia"/>
          <w:sz w:val="24"/>
        </w:rPr>
      </w:pPr>
      <w:r w:rsidRPr="00651502">
        <w:rPr>
          <w:rFonts w:hint="eastAsia"/>
          <w:sz w:val="24"/>
        </w:rPr>
        <w:t>各省、自治区、直辖市教育厅（教委），各计划单列市教育局，新疆生产建设兵团教育局：</w:t>
      </w:r>
    </w:p>
    <w:p w:rsidR="00651502" w:rsidRPr="00651502" w:rsidRDefault="00651502" w:rsidP="00651502">
      <w:pPr>
        <w:spacing w:line="360" w:lineRule="auto"/>
        <w:rPr>
          <w:rFonts w:hint="eastAsia"/>
          <w:sz w:val="24"/>
        </w:rPr>
      </w:pPr>
      <w:r w:rsidRPr="00651502">
        <w:rPr>
          <w:rFonts w:hint="eastAsia"/>
          <w:sz w:val="24"/>
        </w:rPr>
        <w:t xml:space="preserve">　　为贯彻落实《国家职业教育改革实施方案》及教育部等六部门印发的《高职扩招专项工作实施方案》，主动适应高职扩招后生源多元化、发展需求多样化对教育教学的新要求，保障质量型扩招，全面提高人才培养质量，现就做好扩招后高职教育教学管理工作提出以下意见。</w:t>
      </w:r>
    </w:p>
    <w:p w:rsidR="00651502" w:rsidRPr="00651502" w:rsidRDefault="00651502" w:rsidP="00651502">
      <w:pPr>
        <w:spacing w:line="360" w:lineRule="auto"/>
        <w:rPr>
          <w:rFonts w:hint="eastAsia"/>
          <w:sz w:val="24"/>
        </w:rPr>
      </w:pPr>
      <w:r w:rsidRPr="00651502">
        <w:rPr>
          <w:rFonts w:hint="eastAsia"/>
          <w:sz w:val="24"/>
        </w:rPr>
        <w:t xml:space="preserve">　　一、激活改革发展新动力。以习近平新时代中国特色社会主义思想为指导，全面贯彻党的教育方针，解放思想，实事求是，抓住发展机遇，主动应对挑战，把高职扩招作为深化职业教育改革发展、提升教育教学质量的新动力，推动管理水平、学生综合素质、人才培养质量持续提升。针对退役军人、下岗失业人员、农民工、高素质农民、在职职工及应（往）届毕业生等高职扩招生源（以下简称扩招生源）教育教学，坚持标准不降、模式多元、学制灵活，坚持因材施教、按需施教，坚持宽进严出，严把毕业关口。以学情分析为基础，以培养方案为关键，以教师主导为重点，以管理创新为突破，以信息技术应用为手段，确保“教好”“学好”“管好”，实现高质量就业。</w:t>
      </w:r>
    </w:p>
    <w:p w:rsidR="00651502" w:rsidRPr="00651502" w:rsidRDefault="00651502" w:rsidP="00651502">
      <w:pPr>
        <w:spacing w:line="360" w:lineRule="auto"/>
        <w:rPr>
          <w:rFonts w:hint="eastAsia"/>
          <w:sz w:val="24"/>
        </w:rPr>
      </w:pPr>
      <w:r w:rsidRPr="00651502">
        <w:rPr>
          <w:rFonts w:hint="eastAsia"/>
          <w:sz w:val="24"/>
        </w:rPr>
        <w:t xml:space="preserve">　　二、系统开展学情分析。各高职院校要充分考虑不同生源在成长背景、从业经历、学习基础、年龄阶段、认知特点、</w:t>
      </w:r>
      <w:proofErr w:type="gramStart"/>
      <w:r w:rsidRPr="00651502">
        <w:rPr>
          <w:rFonts w:hint="eastAsia"/>
          <w:sz w:val="24"/>
        </w:rPr>
        <w:t>发展愿景等</w:t>
      </w:r>
      <w:proofErr w:type="gramEnd"/>
      <w:r w:rsidRPr="00651502">
        <w:rPr>
          <w:rFonts w:hint="eastAsia"/>
          <w:sz w:val="24"/>
        </w:rPr>
        <w:t>方面的差异性，通过问卷调查、座谈、访谈等形式，对学生学业水平、技术技能基础、信息技术应用能力、学习目的和心理预期等深入调研，开展有关测评，形成学情分析报告，提出有针对性的培养策略，充分挖掘扩招生源特长潜质，实施扬长教育，同时补齐短板。各省级教育行政部门要加强对高职院校的指导，及时收集汇总，掌握高职院校学情，形成本区域学情分析报告，为做好扩招后教育教学管理工作提供依据。</w:t>
      </w:r>
    </w:p>
    <w:p w:rsidR="00651502" w:rsidRPr="00651502" w:rsidRDefault="00651502" w:rsidP="00651502">
      <w:pPr>
        <w:spacing w:line="360" w:lineRule="auto"/>
        <w:rPr>
          <w:rFonts w:hint="eastAsia"/>
          <w:sz w:val="24"/>
        </w:rPr>
      </w:pPr>
      <w:r w:rsidRPr="00651502">
        <w:rPr>
          <w:rFonts w:hint="eastAsia"/>
          <w:sz w:val="24"/>
        </w:rPr>
        <w:t xml:space="preserve">　　三、强化思想政治工作。加强思想政治教育和价值引领，贯彻中共中央办公厅、国务院办公厅《关于深化新时代学校思想政治理论课改革创新的若干意见》，严格落实《新时代高校思想政治理论课教学工作基本要求》，开齐开足思想政治理论课。充分发挥课堂教学主渠道作用，确保各类课程都要与思想政治理论课同</w:t>
      </w:r>
      <w:r w:rsidRPr="00651502">
        <w:rPr>
          <w:rFonts w:hint="eastAsia"/>
          <w:sz w:val="24"/>
        </w:rPr>
        <w:lastRenderedPageBreak/>
        <w:t>向同行，形成协同效应。</w:t>
      </w:r>
    </w:p>
    <w:p w:rsidR="00651502" w:rsidRPr="00651502" w:rsidRDefault="00651502" w:rsidP="00651502">
      <w:pPr>
        <w:spacing w:line="360" w:lineRule="auto"/>
        <w:rPr>
          <w:rFonts w:hint="eastAsia"/>
          <w:sz w:val="24"/>
        </w:rPr>
      </w:pPr>
      <w:r w:rsidRPr="00651502">
        <w:rPr>
          <w:rFonts w:hint="eastAsia"/>
          <w:sz w:val="24"/>
        </w:rPr>
        <w:t xml:space="preserve">　　结合扩招生源的经历特点，创新课程</w:t>
      </w:r>
      <w:proofErr w:type="gramStart"/>
      <w:r w:rsidRPr="00651502">
        <w:rPr>
          <w:rFonts w:hint="eastAsia"/>
          <w:sz w:val="24"/>
        </w:rPr>
        <w:t>思政教学</w:t>
      </w:r>
      <w:proofErr w:type="gramEnd"/>
      <w:r w:rsidRPr="00651502">
        <w:rPr>
          <w:rFonts w:hint="eastAsia"/>
          <w:sz w:val="24"/>
        </w:rPr>
        <w:t>模式，积极开展实践教学，立足实际开设有关选修课程，确保思想政治教育取得实效。统筹推进针对各类生源的“三全育人”综合改革，强化职业素养养成和技术技能积累，将专业精神、职业精神和工匠精神融入人才培养全过程。悉心关注扩招生源的思想动态，深入细致做好引导和服务。</w:t>
      </w:r>
    </w:p>
    <w:p w:rsidR="00651502" w:rsidRPr="00651502" w:rsidRDefault="00651502" w:rsidP="00651502">
      <w:pPr>
        <w:spacing w:line="360" w:lineRule="auto"/>
        <w:rPr>
          <w:rFonts w:hint="eastAsia"/>
          <w:sz w:val="24"/>
        </w:rPr>
      </w:pPr>
      <w:r w:rsidRPr="00651502">
        <w:rPr>
          <w:rFonts w:hint="eastAsia"/>
          <w:sz w:val="24"/>
        </w:rPr>
        <w:t xml:space="preserve">　　四、分类制订人才培养方案。各高职院校要认真落实《教育部关于职业院校专业人才培养方案制订与实施工作的指导意见》有关要求，依据学情分析报告，结合实际，分类制订专业人才培养方案，科学合理确定人才培养目标、人才规格、课程设置、学时安排、教学进程、考核方式和毕业要求等，统筹配置师资队伍、设施设备和教学资源。专业人才培养方案应按程序审定通过后发布执行，报省级教育行政部门备案，并通过学校网站等主动向社会公开。</w:t>
      </w:r>
    </w:p>
    <w:p w:rsidR="00651502" w:rsidRPr="00651502" w:rsidRDefault="00651502" w:rsidP="00651502">
      <w:pPr>
        <w:spacing w:line="360" w:lineRule="auto"/>
        <w:rPr>
          <w:rFonts w:hint="eastAsia"/>
          <w:sz w:val="24"/>
        </w:rPr>
      </w:pPr>
      <w:r w:rsidRPr="00651502">
        <w:rPr>
          <w:rFonts w:hint="eastAsia"/>
          <w:sz w:val="24"/>
        </w:rPr>
        <w:t xml:space="preserve">　　针对扩招生源，鼓励实施灵活多元的教学模式，可实施弹性学习，最长不超过</w:t>
      </w:r>
      <w:r w:rsidRPr="00651502">
        <w:rPr>
          <w:rFonts w:hint="eastAsia"/>
          <w:sz w:val="24"/>
        </w:rPr>
        <w:t>6</w:t>
      </w:r>
      <w:r w:rsidRPr="00651502">
        <w:rPr>
          <w:rFonts w:hint="eastAsia"/>
          <w:sz w:val="24"/>
        </w:rPr>
        <w:t>年。确保总学时不低于</w:t>
      </w:r>
      <w:r w:rsidRPr="00651502">
        <w:rPr>
          <w:rFonts w:hint="eastAsia"/>
          <w:sz w:val="24"/>
        </w:rPr>
        <w:t>2500</w:t>
      </w:r>
      <w:r w:rsidRPr="00651502">
        <w:rPr>
          <w:rFonts w:hint="eastAsia"/>
          <w:sz w:val="24"/>
        </w:rPr>
        <w:t>，其中集中学习不得低于总学时的</w:t>
      </w:r>
      <w:r w:rsidRPr="00651502">
        <w:rPr>
          <w:rFonts w:hint="eastAsia"/>
          <w:sz w:val="24"/>
        </w:rPr>
        <w:t>40%</w:t>
      </w:r>
      <w:r w:rsidRPr="00651502">
        <w:rPr>
          <w:rFonts w:hint="eastAsia"/>
          <w:sz w:val="24"/>
        </w:rPr>
        <w:t>。与企业及其他院校合作培养的，专业人才培养方案由学生学籍注册学校负责牵头组织制订、审定。</w:t>
      </w:r>
    </w:p>
    <w:p w:rsidR="00651502" w:rsidRPr="00651502" w:rsidRDefault="00651502" w:rsidP="00651502">
      <w:pPr>
        <w:spacing w:line="360" w:lineRule="auto"/>
        <w:rPr>
          <w:rFonts w:hint="eastAsia"/>
          <w:sz w:val="24"/>
        </w:rPr>
      </w:pPr>
      <w:r w:rsidRPr="00651502">
        <w:rPr>
          <w:rFonts w:hint="eastAsia"/>
          <w:sz w:val="24"/>
        </w:rPr>
        <w:t xml:space="preserve">　　五、打造适应扩招新要求的教师队伍。要针对扩招后教育教学新要求，加大教师培训力度，完善省级、地（市）级、校级教师培训体系，打造能够胜任面向不同生源实施教学和管理工作的教师队伍。推动教师转变观念、创新模式、改革方法与手段，增强适应和解决教学、管理、服务过程中的新情况、新要求的能力。</w:t>
      </w:r>
    </w:p>
    <w:p w:rsidR="00651502" w:rsidRPr="00651502" w:rsidRDefault="00651502" w:rsidP="00651502">
      <w:pPr>
        <w:spacing w:line="360" w:lineRule="auto"/>
        <w:rPr>
          <w:rFonts w:hint="eastAsia"/>
          <w:sz w:val="24"/>
        </w:rPr>
      </w:pPr>
      <w:r w:rsidRPr="00651502">
        <w:rPr>
          <w:rFonts w:hint="eastAsia"/>
          <w:sz w:val="24"/>
        </w:rPr>
        <w:t xml:space="preserve">　　要引导高职院校组建由学校教师与行业企业专家组成的教师教学创新团队，积极应变、主动求变，分工协作开展模块化教学，建立导师制、师徒制，强化个性化教学。支持团队针对高职扩招开展教育教学研究与实践，定期开展教研活动，研究解决教学组织运行、课程结构内容、学生管理与考核评价等方面的新情况、新问题，关注扩招生源对教学内容、培养方式等方面的意见建议。</w:t>
      </w:r>
    </w:p>
    <w:p w:rsidR="00651502" w:rsidRPr="00651502" w:rsidRDefault="00651502" w:rsidP="00651502">
      <w:pPr>
        <w:spacing w:line="360" w:lineRule="auto"/>
        <w:rPr>
          <w:rFonts w:hint="eastAsia"/>
          <w:sz w:val="24"/>
        </w:rPr>
      </w:pPr>
      <w:r w:rsidRPr="00651502">
        <w:rPr>
          <w:rFonts w:hint="eastAsia"/>
          <w:sz w:val="24"/>
        </w:rPr>
        <w:t xml:space="preserve">　　六、创新教学组织形式。要采取集中教学与分散教学相结合、校内教学与校外教学相结合、线上教学与线下教学相结合等方式，对非应届毕业生尤其是退役军人、下岗失业人员和农民工等应尽量单独编班或实施分层教学。指导高职院校实行学分制管理。鼓励校企联合开展培养，推行现代学徒制等培养模式。</w:t>
      </w:r>
    </w:p>
    <w:p w:rsidR="00651502" w:rsidRPr="00651502" w:rsidRDefault="00651502" w:rsidP="00651502">
      <w:pPr>
        <w:spacing w:line="360" w:lineRule="auto"/>
        <w:rPr>
          <w:rFonts w:hint="eastAsia"/>
          <w:sz w:val="24"/>
        </w:rPr>
      </w:pPr>
      <w:r w:rsidRPr="00651502">
        <w:rPr>
          <w:rFonts w:hint="eastAsia"/>
          <w:sz w:val="24"/>
        </w:rPr>
        <w:lastRenderedPageBreak/>
        <w:t xml:space="preserve">　　对在岗职工可采用线上线下教学相结合的教学模式，工作日通过有关网络平台和教学资源线上学习，周末、节假日或晚间到学校或具备条件的企业教学场所集中面授和辅导，用好职业教育专业教学资源库等；对退役军人、下岗失业人员、农民工等，可根据行业企业生产规律，实施“旺工淡学”的错峰教学，“旺”季以企业实践为主，“淡”季以学校教学为主；对高素质农民、村“两委”委员、相对集中的在岗职工等，应积极做好“送教下乡”“送教上门”，根据实际情况设立“社区学区”“企业学区”，就近实施集中教学。</w:t>
      </w:r>
    </w:p>
    <w:p w:rsidR="00651502" w:rsidRPr="00651502" w:rsidRDefault="00651502" w:rsidP="00651502">
      <w:pPr>
        <w:spacing w:line="360" w:lineRule="auto"/>
        <w:rPr>
          <w:rFonts w:hint="eastAsia"/>
          <w:sz w:val="24"/>
        </w:rPr>
      </w:pPr>
      <w:r w:rsidRPr="00651502">
        <w:rPr>
          <w:rFonts w:hint="eastAsia"/>
          <w:sz w:val="24"/>
        </w:rPr>
        <w:t xml:space="preserve">　　七、探索学习成果认定、积累和转换。鼓励高职院校开展</w:t>
      </w:r>
      <w:r w:rsidRPr="00651502">
        <w:rPr>
          <w:rFonts w:hint="eastAsia"/>
          <w:sz w:val="24"/>
        </w:rPr>
        <w:t>1+X</w:t>
      </w:r>
      <w:r w:rsidRPr="00651502">
        <w:rPr>
          <w:rFonts w:hint="eastAsia"/>
          <w:sz w:val="24"/>
        </w:rPr>
        <w:t>证书制度试点，按规定兑换学分，免修相应课程或模块。指导高职院校积极参与职业教育国家学分银行试点，为各类生源的学习成果认定、积累和转换提供便利。</w:t>
      </w:r>
    </w:p>
    <w:p w:rsidR="00651502" w:rsidRPr="00651502" w:rsidRDefault="00651502" w:rsidP="00651502">
      <w:pPr>
        <w:spacing w:line="360" w:lineRule="auto"/>
        <w:rPr>
          <w:rFonts w:hint="eastAsia"/>
          <w:sz w:val="24"/>
        </w:rPr>
      </w:pPr>
      <w:r w:rsidRPr="00651502">
        <w:rPr>
          <w:rFonts w:hint="eastAsia"/>
          <w:sz w:val="24"/>
        </w:rPr>
        <w:t xml:space="preserve">　　扩招生源已有工作经历、相关培训经历、技术技能达到一定水平及在相关领域获得一定级别的奖项或荣誉称号的，经学校认定后可折算成相应学分或免修相应课程，并可调整有关教学内容或学时安排。有关高职院校应研究制订认定、转换规则和实施办法，经学校党委会议或校长办公会审定后发布实施，并通过学校网站等向社会公开。不得随意把未列入人才培养方案的企业工作内容、时间等折算抵扣学时学分。</w:t>
      </w:r>
    </w:p>
    <w:p w:rsidR="00651502" w:rsidRPr="00651502" w:rsidRDefault="00651502" w:rsidP="00651502">
      <w:pPr>
        <w:spacing w:line="360" w:lineRule="auto"/>
        <w:rPr>
          <w:rFonts w:hint="eastAsia"/>
          <w:sz w:val="24"/>
        </w:rPr>
      </w:pPr>
      <w:r w:rsidRPr="00651502">
        <w:rPr>
          <w:rFonts w:hint="eastAsia"/>
          <w:sz w:val="24"/>
        </w:rPr>
        <w:t xml:space="preserve">　　八、严格教育教学管理。各省级教育行政部门要指导高职院校适应生源、教学组织形式、资源利用方式的新变化，优化资源配置，创新管理机制，健全管理制度，提高学校管理的信息化水平。要会同省级退役军人事务管理部门，加强退役军人生源的协同培养。充分发挥退役军人政治素质、意志品质、能力作风等优势，聘用符合条件的退役军人学生担任兼职辅导员，或参与校园安全管理、军训等工作。</w:t>
      </w:r>
    </w:p>
    <w:p w:rsidR="00651502" w:rsidRPr="00651502" w:rsidRDefault="00651502" w:rsidP="00651502">
      <w:pPr>
        <w:spacing w:line="360" w:lineRule="auto"/>
        <w:rPr>
          <w:rFonts w:hint="eastAsia"/>
          <w:sz w:val="24"/>
        </w:rPr>
      </w:pPr>
      <w:r w:rsidRPr="00651502">
        <w:rPr>
          <w:rFonts w:hint="eastAsia"/>
          <w:sz w:val="24"/>
        </w:rPr>
        <w:t xml:space="preserve">　　各高职院校要根据《普通高等学校学生管理规定》，结合不同生源特点和培养模式要求，制订有针对性的学生管理办法，并报省级教育行政部门备案。坚持严格管理与精心指导相结合，为不同生源群体配备有一定阅历和工作经验的辅导员或班主任。在落实《职业学校学生实习管理规定》有关要求基础上，针对不同生源特点，灵活多样开展实践教学，集中安排实习和学生自主实习相结合，校企共同制订实习方案，创新实习管理方式，为学生投</w:t>
      </w:r>
      <w:bookmarkStart w:id="0" w:name="_GoBack"/>
      <w:bookmarkEnd w:id="0"/>
      <w:r w:rsidRPr="00651502">
        <w:rPr>
          <w:rFonts w:hint="eastAsia"/>
          <w:sz w:val="24"/>
        </w:rPr>
        <w:t>保实习责任保险。</w:t>
      </w:r>
    </w:p>
    <w:p w:rsidR="00651502" w:rsidRPr="00651502" w:rsidRDefault="00651502" w:rsidP="00651502">
      <w:pPr>
        <w:spacing w:line="360" w:lineRule="auto"/>
        <w:rPr>
          <w:rFonts w:hint="eastAsia"/>
          <w:sz w:val="24"/>
        </w:rPr>
      </w:pPr>
      <w:r w:rsidRPr="00651502">
        <w:rPr>
          <w:rFonts w:hint="eastAsia"/>
          <w:sz w:val="24"/>
        </w:rPr>
        <w:t xml:space="preserve">　　九、建立健全质量评价体系。各高职院校要主动适应技术技能人才多样化培</w:t>
      </w:r>
      <w:r w:rsidRPr="00651502">
        <w:rPr>
          <w:rFonts w:hint="eastAsia"/>
          <w:sz w:val="24"/>
        </w:rPr>
        <w:lastRenderedPageBreak/>
        <w:t>养需要，针对不同生源、不同学习时间、不同学习方式，改革学生学业考核评价方式方法，实行多元评价。结合课程特点和实际条件组织实施竞赛活动、技能抽查、学业水平测试、综合素质评价和毕业生质量跟踪调查等。不断完善内部质量保证体系和运行机制，做好各类生源学生的学习状态数据采集，根据反馈实时诊断、及时改进。</w:t>
      </w:r>
    </w:p>
    <w:p w:rsidR="00651502" w:rsidRPr="00651502" w:rsidRDefault="00651502" w:rsidP="00651502">
      <w:pPr>
        <w:spacing w:line="360" w:lineRule="auto"/>
        <w:rPr>
          <w:rFonts w:hint="eastAsia"/>
          <w:sz w:val="24"/>
        </w:rPr>
      </w:pPr>
      <w:r w:rsidRPr="00651502">
        <w:rPr>
          <w:rFonts w:hint="eastAsia"/>
          <w:sz w:val="24"/>
        </w:rPr>
        <w:t xml:space="preserve">　　要全面考察学生的职业道德、职业素养、技术技能水平、创新创业能力，并把实现高质量就业作为检验人才培养质量的重要标准，做好毕业生的就业质量跟踪调查。严把毕业出口关，不得以任何原因、任何形式降低毕业要求，严禁实施“清考”。</w:t>
      </w:r>
    </w:p>
    <w:p w:rsidR="00651502" w:rsidRPr="00651502" w:rsidRDefault="00651502" w:rsidP="00651502">
      <w:pPr>
        <w:spacing w:line="360" w:lineRule="auto"/>
        <w:rPr>
          <w:rFonts w:hint="eastAsia"/>
          <w:sz w:val="24"/>
        </w:rPr>
      </w:pPr>
      <w:r w:rsidRPr="00651502">
        <w:rPr>
          <w:rFonts w:hint="eastAsia"/>
          <w:sz w:val="24"/>
        </w:rPr>
        <w:t xml:space="preserve">　　十、加强组织领导和监督保障。各省级教育行政部门要加强对高职院校分类教育教学、管理服务的过程性监管，对专业人才培养方案制订、教育资源配置、信息公开、教学实施等情况，特别是对课堂教育教学过程开展检查，公布检查结果，并纳入有关考核评价。支持高职院校在教学场所、实训基地等方面做好条件保障，利用好晚间、周末、节假日等时间，提高教室、实</w:t>
      </w:r>
      <w:proofErr w:type="gramStart"/>
      <w:r w:rsidRPr="00651502">
        <w:rPr>
          <w:rFonts w:hint="eastAsia"/>
          <w:sz w:val="24"/>
        </w:rPr>
        <w:t>训设施</w:t>
      </w:r>
      <w:proofErr w:type="gramEnd"/>
      <w:r w:rsidRPr="00651502">
        <w:rPr>
          <w:rFonts w:hint="eastAsia"/>
          <w:sz w:val="24"/>
        </w:rPr>
        <w:t>设备等资源使用效率。组织设立教改专项，加强教研科研课题研究，促进经验交流，及时总结经验，形成可复制、可推广的工作机制和模式。</w:t>
      </w:r>
    </w:p>
    <w:p w:rsidR="00651502" w:rsidRPr="00651502" w:rsidRDefault="00651502" w:rsidP="00651502">
      <w:pPr>
        <w:spacing w:line="360" w:lineRule="auto"/>
        <w:rPr>
          <w:rFonts w:hint="eastAsia"/>
          <w:sz w:val="24"/>
        </w:rPr>
      </w:pPr>
      <w:r w:rsidRPr="00651502">
        <w:rPr>
          <w:rFonts w:hint="eastAsia"/>
          <w:sz w:val="24"/>
        </w:rPr>
        <w:t xml:space="preserve">　　各高职院校要将教育教学管理作为学校“一把手”工程，学校党委切实履行主体责任、院（校）长是第一责任人，学校有关部门和院系按职责分工，承担相应的管理责任。</w:t>
      </w:r>
    </w:p>
    <w:p w:rsidR="00651502" w:rsidRPr="00651502" w:rsidRDefault="00651502" w:rsidP="00651502">
      <w:pPr>
        <w:spacing w:line="360" w:lineRule="auto"/>
        <w:rPr>
          <w:rFonts w:hint="eastAsia"/>
          <w:sz w:val="24"/>
        </w:rPr>
      </w:pPr>
      <w:r w:rsidRPr="00651502">
        <w:rPr>
          <w:rFonts w:hint="eastAsia"/>
          <w:sz w:val="24"/>
        </w:rPr>
        <w:t xml:space="preserve">　　请各地推荐不少于</w:t>
      </w:r>
      <w:r w:rsidRPr="00651502">
        <w:rPr>
          <w:rFonts w:hint="eastAsia"/>
          <w:sz w:val="24"/>
        </w:rPr>
        <w:t>5</w:t>
      </w:r>
      <w:r w:rsidRPr="00651502">
        <w:rPr>
          <w:rFonts w:hint="eastAsia"/>
          <w:sz w:val="24"/>
        </w:rPr>
        <w:t>所本地院校的典型经验做法、专业人才培养方案，于</w:t>
      </w:r>
      <w:r w:rsidRPr="00651502">
        <w:rPr>
          <w:rFonts w:hint="eastAsia"/>
          <w:sz w:val="24"/>
        </w:rPr>
        <w:t>2020</w:t>
      </w:r>
      <w:r w:rsidRPr="00651502">
        <w:rPr>
          <w:rFonts w:hint="eastAsia"/>
          <w:sz w:val="24"/>
        </w:rPr>
        <w:t>年</w:t>
      </w:r>
      <w:r w:rsidRPr="00651502">
        <w:rPr>
          <w:rFonts w:hint="eastAsia"/>
          <w:sz w:val="24"/>
        </w:rPr>
        <w:t>1</w:t>
      </w:r>
      <w:r w:rsidRPr="00651502">
        <w:rPr>
          <w:rFonts w:hint="eastAsia"/>
          <w:sz w:val="24"/>
        </w:rPr>
        <w:t>月</w:t>
      </w:r>
      <w:r w:rsidRPr="00651502">
        <w:rPr>
          <w:rFonts w:hint="eastAsia"/>
          <w:sz w:val="24"/>
        </w:rPr>
        <w:t>20</w:t>
      </w:r>
      <w:r w:rsidRPr="00651502">
        <w:rPr>
          <w:rFonts w:hint="eastAsia"/>
          <w:sz w:val="24"/>
        </w:rPr>
        <w:t>日前报送我部职业教育与成人教育司，并将电子版发送至</w:t>
      </w:r>
      <w:r w:rsidRPr="00651502">
        <w:rPr>
          <w:rFonts w:hint="eastAsia"/>
          <w:sz w:val="24"/>
        </w:rPr>
        <w:t>jxjc@moe.edu.cn</w:t>
      </w:r>
      <w:r w:rsidRPr="00651502">
        <w:rPr>
          <w:rFonts w:hint="eastAsia"/>
          <w:sz w:val="24"/>
        </w:rPr>
        <w:t>。</w:t>
      </w:r>
    </w:p>
    <w:p w:rsidR="00651502" w:rsidRPr="00651502" w:rsidRDefault="00651502" w:rsidP="00651502">
      <w:pPr>
        <w:spacing w:line="360" w:lineRule="auto"/>
        <w:jc w:val="right"/>
        <w:rPr>
          <w:rFonts w:hint="eastAsia"/>
          <w:sz w:val="24"/>
        </w:rPr>
      </w:pPr>
      <w:r w:rsidRPr="00651502">
        <w:rPr>
          <w:rFonts w:hint="eastAsia"/>
          <w:sz w:val="24"/>
        </w:rPr>
        <w:t>教育部办公厅</w:t>
      </w:r>
    </w:p>
    <w:p w:rsidR="00651502" w:rsidRPr="00651502" w:rsidRDefault="00651502" w:rsidP="00651502">
      <w:pPr>
        <w:spacing w:line="360" w:lineRule="auto"/>
        <w:jc w:val="right"/>
        <w:rPr>
          <w:rFonts w:hint="eastAsia"/>
          <w:sz w:val="24"/>
        </w:rPr>
      </w:pPr>
      <w:r w:rsidRPr="00651502">
        <w:rPr>
          <w:rFonts w:hint="eastAsia"/>
          <w:sz w:val="24"/>
        </w:rPr>
        <w:t>2019</w:t>
      </w:r>
      <w:r w:rsidRPr="00651502">
        <w:rPr>
          <w:rFonts w:hint="eastAsia"/>
          <w:sz w:val="24"/>
        </w:rPr>
        <w:t>年</w:t>
      </w:r>
      <w:r w:rsidRPr="00651502">
        <w:rPr>
          <w:rFonts w:hint="eastAsia"/>
          <w:sz w:val="24"/>
        </w:rPr>
        <w:t>12</w:t>
      </w:r>
      <w:r w:rsidRPr="00651502">
        <w:rPr>
          <w:rFonts w:hint="eastAsia"/>
          <w:sz w:val="24"/>
        </w:rPr>
        <w:t>月</w:t>
      </w:r>
      <w:r w:rsidRPr="00651502">
        <w:rPr>
          <w:rFonts w:hint="eastAsia"/>
          <w:sz w:val="24"/>
        </w:rPr>
        <w:t>23</w:t>
      </w:r>
      <w:r w:rsidRPr="00651502">
        <w:rPr>
          <w:rFonts w:hint="eastAsia"/>
          <w:sz w:val="24"/>
        </w:rPr>
        <w:t>日</w:t>
      </w:r>
    </w:p>
    <w:p w:rsidR="00A33003" w:rsidRPr="00651502" w:rsidRDefault="00A33003" w:rsidP="00651502">
      <w:pPr>
        <w:spacing w:line="360" w:lineRule="auto"/>
        <w:jc w:val="right"/>
        <w:rPr>
          <w:sz w:val="24"/>
        </w:rPr>
      </w:pPr>
    </w:p>
    <w:sectPr w:rsidR="00A33003" w:rsidRPr="006515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57EB" w:rsidRDefault="00DC57EB" w:rsidP="00651502">
      <w:r>
        <w:separator/>
      </w:r>
    </w:p>
  </w:endnote>
  <w:endnote w:type="continuationSeparator" w:id="0">
    <w:p w:rsidR="00DC57EB" w:rsidRDefault="00DC57EB" w:rsidP="00651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57EB" w:rsidRDefault="00DC57EB" w:rsidP="00651502">
      <w:r>
        <w:separator/>
      </w:r>
    </w:p>
  </w:footnote>
  <w:footnote w:type="continuationSeparator" w:id="0">
    <w:p w:rsidR="00DC57EB" w:rsidRDefault="00DC57EB" w:rsidP="006515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C09"/>
    <w:rsid w:val="000065A3"/>
    <w:rsid w:val="00037A0E"/>
    <w:rsid w:val="00044BF8"/>
    <w:rsid w:val="000459E0"/>
    <w:rsid w:val="00054C66"/>
    <w:rsid w:val="0006052C"/>
    <w:rsid w:val="000831F5"/>
    <w:rsid w:val="000A6A66"/>
    <w:rsid w:val="000B0E17"/>
    <w:rsid w:val="000C446A"/>
    <w:rsid w:val="000C494F"/>
    <w:rsid w:val="000C4AA9"/>
    <w:rsid w:val="000C4DC0"/>
    <w:rsid w:val="000C4E02"/>
    <w:rsid w:val="000E085A"/>
    <w:rsid w:val="000E258F"/>
    <w:rsid w:val="000F2CF8"/>
    <w:rsid w:val="001221C1"/>
    <w:rsid w:val="001526DE"/>
    <w:rsid w:val="00155DC0"/>
    <w:rsid w:val="00162C09"/>
    <w:rsid w:val="001634F6"/>
    <w:rsid w:val="001664EF"/>
    <w:rsid w:val="00173365"/>
    <w:rsid w:val="00196198"/>
    <w:rsid w:val="001A7F6A"/>
    <w:rsid w:val="001B5504"/>
    <w:rsid w:val="001C3DE0"/>
    <w:rsid w:val="001C5283"/>
    <w:rsid w:val="001D478B"/>
    <w:rsid w:val="001D5A4B"/>
    <w:rsid w:val="001E58D7"/>
    <w:rsid w:val="001F5099"/>
    <w:rsid w:val="00205003"/>
    <w:rsid w:val="002411BD"/>
    <w:rsid w:val="00242907"/>
    <w:rsid w:val="0024656E"/>
    <w:rsid w:val="002504E3"/>
    <w:rsid w:val="00261472"/>
    <w:rsid w:val="00264F03"/>
    <w:rsid w:val="00265BA4"/>
    <w:rsid w:val="00267F47"/>
    <w:rsid w:val="002716A7"/>
    <w:rsid w:val="00277155"/>
    <w:rsid w:val="00283CD0"/>
    <w:rsid w:val="00292065"/>
    <w:rsid w:val="002978EC"/>
    <w:rsid w:val="002B1FE2"/>
    <w:rsid w:val="002D1F25"/>
    <w:rsid w:val="002E09E0"/>
    <w:rsid w:val="002E0B82"/>
    <w:rsid w:val="00304BF2"/>
    <w:rsid w:val="00306423"/>
    <w:rsid w:val="003260AE"/>
    <w:rsid w:val="00330C61"/>
    <w:rsid w:val="00366390"/>
    <w:rsid w:val="00386775"/>
    <w:rsid w:val="003A0CE7"/>
    <w:rsid w:val="003C0F5B"/>
    <w:rsid w:val="003C1192"/>
    <w:rsid w:val="003C5BD8"/>
    <w:rsid w:val="003D1E32"/>
    <w:rsid w:val="003D55E0"/>
    <w:rsid w:val="003E0517"/>
    <w:rsid w:val="0040448A"/>
    <w:rsid w:val="0040772B"/>
    <w:rsid w:val="00415D2D"/>
    <w:rsid w:val="00420000"/>
    <w:rsid w:val="00434BC3"/>
    <w:rsid w:val="004352E3"/>
    <w:rsid w:val="00450E82"/>
    <w:rsid w:val="00462846"/>
    <w:rsid w:val="00467605"/>
    <w:rsid w:val="00472840"/>
    <w:rsid w:val="00476E19"/>
    <w:rsid w:val="00482584"/>
    <w:rsid w:val="00486F37"/>
    <w:rsid w:val="00494EC1"/>
    <w:rsid w:val="004B1DEE"/>
    <w:rsid w:val="004D723D"/>
    <w:rsid w:val="004E2426"/>
    <w:rsid w:val="004F1A6E"/>
    <w:rsid w:val="004F2B1B"/>
    <w:rsid w:val="004F42DF"/>
    <w:rsid w:val="005312C8"/>
    <w:rsid w:val="005509B1"/>
    <w:rsid w:val="00553AEE"/>
    <w:rsid w:val="00576294"/>
    <w:rsid w:val="005908B7"/>
    <w:rsid w:val="005913F1"/>
    <w:rsid w:val="005A0C8C"/>
    <w:rsid w:val="005C302F"/>
    <w:rsid w:val="005D3639"/>
    <w:rsid w:val="005E63C7"/>
    <w:rsid w:val="00612455"/>
    <w:rsid w:val="00624FF9"/>
    <w:rsid w:val="00625103"/>
    <w:rsid w:val="0063784C"/>
    <w:rsid w:val="00642C58"/>
    <w:rsid w:val="00651502"/>
    <w:rsid w:val="0066741C"/>
    <w:rsid w:val="00695775"/>
    <w:rsid w:val="006A5E85"/>
    <w:rsid w:val="006A71BD"/>
    <w:rsid w:val="006B7617"/>
    <w:rsid w:val="006F2E65"/>
    <w:rsid w:val="006F4090"/>
    <w:rsid w:val="0071065C"/>
    <w:rsid w:val="00710E6B"/>
    <w:rsid w:val="00722869"/>
    <w:rsid w:val="00722B5F"/>
    <w:rsid w:val="00723362"/>
    <w:rsid w:val="0073227F"/>
    <w:rsid w:val="0073263F"/>
    <w:rsid w:val="00744139"/>
    <w:rsid w:val="0077489D"/>
    <w:rsid w:val="00776893"/>
    <w:rsid w:val="00790F52"/>
    <w:rsid w:val="007B15B7"/>
    <w:rsid w:val="007B4DA0"/>
    <w:rsid w:val="007C1651"/>
    <w:rsid w:val="007D3E68"/>
    <w:rsid w:val="007E43B3"/>
    <w:rsid w:val="007E53CC"/>
    <w:rsid w:val="007E634F"/>
    <w:rsid w:val="0084280B"/>
    <w:rsid w:val="008533B7"/>
    <w:rsid w:val="0085701C"/>
    <w:rsid w:val="00857C8F"/>
    <w:rsid w:val="00860AEB"/>
    <w:rsid w:val="00864BD3"/>
    <w:rsid w:val="00871F13"/>
    <w:rsid w:val="00877C34"/>
    <w:rsid w:val="0089042F"/>
    <w:rsid w:val="00891CC7"/>
    <w:rsid w:val="00893910"/>
    <w:rsid w:val="008A073E"/>
    <w:rsid w:val="008A1330"/>
    <w:rsid w:val="008B321B"/>
    <w:rsid w:val="008B596C"/>
    <w:rsid w:val="008C0D92"/>
    <w:rsid w:val="008C3612"/>
    <w:rsid w:val="008C49BA"/>
    <w:rsid w:val="008E3A85"/>
    <w:rsid w:val="008F40CF"/>
    <w:rsid w:val="008F4B48"/>
    <w:rsid w:val="00906E33"/>
    <w:rsid w:val="009326F5"/>
    <w:rsid w:val="0094712B"/>
    <w:rsid w:val="00955403"/>
    <w:rsid w:val="00974E41"/>
    <w:rsid w:val="00976B6D"/>
    <w:rsid w:val="009808C6"/>
    <w:rsid w:val="00985F7B"/>
    <w:rsid w:val="009A2AE6"/>
    <w:rsid w:val="009C4507"/>
    <w:rsid w:val="009D4E88"/>
    <w:rsid w:val="00A106F6"/>
    <w:rsid w:val="00A16020"/>
    <w:rsid w:val="00A270F4"/>
    <w:rsid w:val="00A33003"/>
    <w:rsid w:val="00A53936"/>
    <w:rsid w:val="00A559F5"/>
    <w:rsid w:val="00A56C97"/>
    <w:rsid w:val="00A5741A"/>
    <w:rsid w:val="00A828A9"/>
    <w:rsid w:val="00A82FD0"/>
    <w:rsid w:val="00A912B8"/>
    <w:rsid w:val="00A97AF9"/>
    <w:rsid w:val="00AA07C2"/>
    <w:rsid w:val="00AA4EB9"/>
    <w:rsid w:val="00AA5F88"/>
    <w:rsid w:val="00AB0CDC"/>
    <w:rsid w:val="00AC1657"/>
    <w:rsid w:val="00AE4B1B"/>
    <w:rsid w:val="00AF3E65"/>
    <w:rsid w:val="00B0197E"/>
    <w:rsid w:val="00B14C30"/>
    <w:rsid w:val="00B34CAF"/>
    <w:rsid w:val="00B543A3"/>
    <w:rsid w:val="00B67AC3"/>
    <w:rsid w:val="00B82137"/>
    <w:rsid w:val="00B9271D"/>
    <w:rsid w:val="00BA4433"/>
    <w:rsid w:val="00BB0076"/>
    <w:rsid w:val="00BB199A"/>
    <w:rsid w:val="00BB79DF"/>
    <w:rsid w:val="00BC1176"/>
    <w:rsid w:val="00BC7639"/>
    <w:rsid w:val="00BD1CF9"/>
    <w:rsid w:val="00BE5781"/>
    <w:rsid w:val="00BE61B8"/>
    <w:rsid w:val="00BF6AB2"/>
    <w:rsid w:val="00C022D9"/>
    <w:rsid w:val="00C0251D"/>
    <w:rsid w:val="00C21F38"/>
    <w:rsid w:val="00C26965"/>
    <w:rsid w:val="00C27FE8"/>
    <w:rsid w:val="00C32E29"/>
    <w:rsid w:val="00C72B14"/>
    <w:rsid w:val="00C81B52"/>
    <w:rsid w:val="00CB08DC"/>
    <w:rsid w:val="00CC2C5E"/>
    <w:rsid w:val="00CD3100"/>
    <w:rsid w:val="00CE2E98"/>
    <w:rsid w:val="00CF63C8"/>
    <w:rsid w:val="00D31666"/>
    <w:rsid w:val="00D34E4B"/>
    <w:rsid w:val="00D42006"/>
    <w:rsid w:val="00D4219E"/>
    <w:rsid w:val="00D43BF8"/>
    <w:rsid w:val="00D62779"/>
    <w:rsid w:val="00D67711"/>
    <w:rsid w:val="00D76204"/>
    <w:rsid w:val="00D83F40"/>
    <w:rsid w:val="00DC57EB"/>
    <w:rsid w:val="00DE4E88"/>
    <w:rsid w:val="00DF17CA"/>
    <w:rsid w:val="00E01F52"/>
    <w:rsid w:val="00E4173C"/>
    <w:rsid w:val="00E5752C"/>
    <w:rsid w:val="00E62E56"/>
    <w:rsid w:val="00E70678"/>
    <w:rsid w:val="00E81833"/>
    <w:rsid w:val="00E87BBC"/>
    <w:rsid w:val="00ED5423"/>
    <w:rsid w:val="00EE3009"/>
    <w:rsid w:val="00EF0AEE"/>
    <w:rsid w:val="00EF4A56"/>
    <w:rsid w:val="00F359FC"/>
    <w:rsid w:val="00F57B51"/>
    <w:rsid w:val="00F60BEC"/>
    <w:rsid w:val="00F70E5C"/>
    <w:rsid w:val="00F94C70"/>
    <w:rsid w:val="00FA7F46"/>
    <w:rsid w:val="00FC21AA"/>
    <w:rsid w:val="00FC2D90"/>
    <w:rsid w:val="00FE4FEF"/>
    <w:rsid w:val="00FF4A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099"/>
    <w:pPr>
      <w:widowControl w:val="0"/>
      <w:jc w:val="both"/>
    </w:pPr>
    <w:rPr>
      <w:rFonts w:ascii="Times New Roman" w:eastAsia="宋体" w:hAnsi="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5099"/>
    <w:pPr>
      <w:ind w:firstLineChars="200" w:firstLine="420"/>
    </w:pPr>
    <w:rPr>
      <w:rFonts w:cs="Times New Roman"/>
    </w:rPr>
  </w:style>
  <w:style w:type="paragraph" w:styleId="a4">
    <w:name w:val="header"/>
    <w:basedOn w:val="a"/>
    <w:link w:val="Char"/>
    <w:uiPriority w:val="99"/>
    <w:unhideWhenUsed/>
    <w:rsid w:val="006515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51502"/>
    <w:rPr>
      <w:rFonts w:ascii="Times New Roman" w:eastAsia="宋体" w:hAnsi="Times New Roman"/>
      <w:sz w:val="18"/>
      <w:szCs w:val="18"/>
    </w:rPr>
  </w:style>
  <w:style w:type="paragraph" w:styleId="a5">
    <w:name w:val="footer"/>
    <w:basedOn w:val="a"/>
    <w:link w:val="Char0"/>
    <w:uiPriority w:val="99"/>
    <w:unhideWhenUsed/>
    <w:rsid w:val="00651502"/>
    <w:pPr>
      <w:tabs>
        <w:tab w:val="center" w:pos="4153"/>
        <w:tab w:val="right" w:pos="8306"/>
      </w:tabs>
      <w:snapToGrid w:val="0"/>
      <w:jc w:val="left"/>
    </w:pPr>
    <w:rPr>
      <w:sz w:val="18"/>
      <w:szCs w:val="18"/>
    </w:rPr>
  </w:style>
  <w:style w:type="character" w:customStyle="1" w:styleId="Char0">
    <w:name w:val="页脚 Char"/>
    <w:basedOn w:val="a0"/>
    <w:link w:val="a5"/>
    <w:uiPriority w:val="99"/>
    <w:rsid w:val="00651502"/>
    <w:rPr>
      <w:rFonts w:ascii="Times New Roman" w:eastAsia="宋体" w:hAnsi="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099"/>
    <w:pPr>
      <w:widowControl w:val="0"/>
      <w:jc w:val="both"/>
    </w:pPr>
    <w:rPr>
      <w:rFonts w:ascii="Times New Roman" w:eastAsia="宋体" w:hAnsi="Times New Roman"/>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F5099"/>
    <w:pPr>
      <w:ind w:firstLineChars="200" w:firstLine="420"/>
    </w:pPr>
    <w:rPr>
      <w:rFonts w:cs="Times New Roman"/>
    </w:rPr>
  </w:style>
  <w:style w:type="paragraph" w:styleId="a4">
    <w:name w:val="header"/>
    <w:basedOn w:val="a"/>
    <w:link w:val="Char"/>
    <w:uiPriority w:val="99"/>
    <w:unhideWhenUsed/>
    <w:rsid w:val="006515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651502"/>
    <w:rPr>
      <w:rFonts w:ascii="Times New Roman" w:eastAsia="宋体" w:hAnsi="Times New Roman"/>
      <w:sz w:val="18"/>
      <w:szCs w:val="18"/>
    </w:rPr>
  </w:style>
  <w:style w:type="paragraph" w:styleId="a5">
    <w:name w:val="footer"/>
    <w:basedOn w:val="a"/>
    <w:link w:val="Char0"/>
    <w:uiPriority w:val="99"/>
    <w:unhideWhenUsed/>
    <w:rsid w:val="00651502"/>
    <w:pPr>
      <w:tabs>
        <w:tab w:val="center" w:pos="4153"/>
        <w:tab w:val="right" w:pos="8306"/>
      </w:tabs>
      <w:snapToGrid w:val="0"/>
      <w:jc w:val="left"/>
    </w:pPr>
    <w:rPr>
      <w:sz w:val="18"/>
      <w:szCs w:val="18"/>
    </w:rPr>
  </w:style>
  <w:style w:type="character" w:customStyle="1" w:styleId="Char0">
    <w:name w:val="页脚 Char"/>
    <w:basedOn w:val="a0"/>
    <w:link w:val="a5"/>
    <w:uiPriority w:val="99"/>
    <w:rsid w:val="00651502"/>
    <w:rPr>
      <w:rFonts w:ascii="Times New Roman" w:eastAsia="宋体"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9585661">
      <w:bodyDiv w:val="1"/>
      <w:marLeft w:val="0"/>
      <w:marRight w:val="0"/>
      <w:marTop w:val="0"/>
      <w:marBottom w:val="0"/>
      <w:divBdr>
        <w:top w:val="none" w:sz="0" w:space="0" w:color="auto"/>
        <w:left w:val="none" w:sz="0" w:space="0" w:color="auto"/>
        <w:bottom w:val="none" w:sz="0" w:space="0" w:color="auto"/>
        <w:right w:val="none" w:sz="0" w:space="0" w:color="auto"/>
      </w:divBdr>
      <w:divsChild>
        <w:div w:id="1852648829">
          <w:marLeft w:val="0"/>
          <w:marRight w:val="0"/>
          <w:marTop w:val="0"/>
          <w:marBottom w:val="0"/>
          <w:divBdr>
            <w:top w:val="none" w:sz="0" w:space="0" w:color="auto"/>
            <w:left w:val="none" w:sz="0" w:space="0" w:color="auto"/>
            <w:bottom w:val="none" w:sz="0" w:space="0" w:color="auto"/>
            <w:right w:val="none" w:sz="0" w:space="0" w:color="auto"/>
          </w:divBdr>
          <w:divsChild>
            <w:div w:id="1612742151">
              <w:marLeft w:val="0"/>
              <w:marRight w:val="0"/>
              <w:marTop w:val="0"/>
              <w:marBottom w:val="0"/>
              <w:divBdr>
                <w:top w:val="none" w:sz="0" w:space="0" w:color="auto"/>
                <w:left w:val="none" w:sz="0" w:space="0" w:color="auto"/>
                <w:bottom w:val="none" w:sz="0" w:space="0" w:color="auto"/>
                <w:right w:val="none" w:sz="0" w:space="0" w:color="auto"/>
              </w:divBdr>
              <w:divsChild>
                <w:div w:id="2107382495">
                  <w:marLeft w:val="0"/>
                  <w:marRight w:val="0"/>
                  <w:marTop w:val="0"/>
                  <w:marBottom w:val="0"/>
                  <w:divBdr>
                    <w:top w:val="single" w:sz="6" w:space="31" w:color="BCBCBC"/>
                    <w:left w:val="single" w:sz="6" w:space="31" w:color="BCBCBC"/>
                    <w:bottom w:val="single" w:sz="6" w:space="15" w:color="BCBCBC"/>
                    <w:right w:val="single" w:sz="6" w:space="31" w:color="BCBCBC"/>
                  </w:divBdr>
                  <w:divsChild>
                    <w:div w:id="1508211954">
                      <w:marLeft w:val="0"/>
                      <w:marRight w:val="0"/>
                      <w:marTop w:val="0"/>
                      <w:marBottom w:val="0"/>
                      <w:divBdr>
                        <w:top w:val="none" w:sz="0" w:space="0" w:color="auto"/>
                        <w:left w:val="none" w:sz="0" w:space="0" w:color="auto"/>
                        <w:bottom w:val="none" w:sz="0" w:space="0" w:color="auto"/>
                        <w:right w:val="none" w:sz="0" w:space="0" w:color="auto"/>
                      </w:divBdr>
                      <w:divsChild>
                        <w:div w:id="1120149598">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513</Words>
  <Characters>2925</Characters>
  <Application>Microsoft Office Word</Application>
  <DocSecurity>0</DocSecurity>
  <Lines>24</Lines>
  <Paragraphs>6</Paragraphs>
  <ScaleCrop>false</ScaleCrop>
  <Company/>
  <LinksUpToDate>false</LinksUpToDate>
  <CharactersWithSpaces>3432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光琳</dc:creator>
  <cp:keywords/>
  <dc:description/>
  <cp:lastModifiedBy>光琳</cp:lastModifiedBy>
  <cp:revision>2</cp:revision>
  <dcterms:created xsi:type="dcterms:W3CDTF">2020-01-04T08:11:00Z</dcterms:created>
  <dcterms:modified xsi:type="dcterms:W3CDTF">2020-01-04T08:12:00Z</dcterms:modified>
</cp:coreProperties>
</file>