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24" w:rsidRDefault="004E7324" w:rsidP="004E7324">
      <w:pPr>
        <w:widowControl w:val="0"/>
        <w:adjustRightInd/>
        <w:snapToGrid/>
        <w:spacing w:after="0" w:line="620" w:lineRule="exact"/>
        <w:jc w:val="center"/>
        <w:rPr>
          <w:rFonts w:ascii="华文中宋" w:eastAsia="华文中宋" w:hAnsi="华文中宋" w:cs="Times New Roman" w:hint="eastAsia"/>
          <w:b/>
          <w:spacing w:val="-20"/>
          <w:w w:val="95"/>
          <w:kern w:val="2"/>
          <w:sz w:val="32"/>
          <w:szCs w:val="44"/>
        </w:rPr>
      </w:pPr>
    </w:p>
    <w:p w:rsidR="004E7324" w:rsidRDefault="004E7324" w:rsidP="004E7324">
      <w:pPr>
        <w:widowControl w:val="0"/>
        <w:adjustRightInd/>
        <w:snapToGrid/>
        <w:spacing w:after="0" w:line="620" w:lineRule="exact"/>
        <w:jc w:val="center"/>
        <w:rPr>
          <w:rFonts w:ascii="华文中宋" w:eastAsia="华文中宋" w:hAnsi="华文中宋" w:cs="Times New Roman"/>
          <w:b/>
          <w:spacing w:val="-20"/>
          <w:w w:val="95"/>
          <w:kern w:val="2"/>
          <w:sz w:val="32"/>
          <w:szCs w:val="44"/>
        </w:rPr>
      </w:pPr>
    </w:p>
    <w:p w:rsidR="004E7324" w:rsidRPr="00EB0D28" w:rsidRDefault="004E7324" w:rsidP="004E7324">
      <w:pPr>
        <w:widowControl w:val="0"/>
        <w:adjustRightInd/>
        <w:snapToGrid/>
        <w:spacing w:after="0" w:line="620" w:lineRule="exact"/>
        <w:jc w:val="center"/>
        <w:rPr>
          <w:rFonts w:ascii="华文中宋" w:eastAsia="华文中宋" w:hAnsi="华文中宋" w:cs="Times New Roman"/>
          <w:b/>
          <w:spacing w:val="-20"/>
          <w:w w:val="95"/>
          <w:kern w:val="2"/>
          <w:sz w:val="32"/>
          <w:szCs w:val="44"/>
        </w:rPr>
      </w:pPr>
      <w:r w:rsidRPr="00EB0D28">
        <w:rPr>
          <w:rFonts w:ascii="华文中宋" w:eastAsia="华文中宋" w:hAnsi="华文中宋" w:cs="Times New Roman" w:hint="eastAsia"/>
          <w:b/>
          <w:spacing w:val="-20"/>
          <w:w w:val="95"/>
          <w:kern w:val="2"/>
          <w:sz w:val="32"/>
          <w:szCs w:val="44"/>
        </w:rPr>
        <w:t>关于开展2017年立项建设的校级精品教材结项工作的通知</w:t>
      </w:r>
    </w:p>
    <w:p w:rsidR="004E7324" w:rsidRPr="00EB0D28" w:rsidRDefault="004E7324" w:rsidP="004E7324">
      <w:pPr>
        <w:spacing w:line="220" w:lineRule="atLeast"/>
      </w:pPr>
    </w:p>
    <w:p w:rsidR="004E7324" w:rsidRPr="00EB0D28" w:rsidRDefault="004E7324" w:rsidP="00027F5F">
      <w:pPr>
        <w:pStyle w:val="a5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/>
          <w:sz w:val="28"/>
          <w:szCs w:val="32"/>
        </w:rPr>
      </w:pPr>
      <w:bookmarkStart w:id="0" w:name="_GoBack"/>
      <w:bookmarkEnd w:id="0"/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各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系（部）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：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为加强我校教材建设项目管理工作，根据《关于开展2017年校级精品教材建设工作的通知》（苏财会院〔2017〕80号）文件要求，现启动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2017年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度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立项建设的校级精品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教材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的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结项工作，现将有关事项通知如下：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一、结项范围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2017年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度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立项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建设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的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校级精品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教材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。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（附件1）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二、结项材料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（一）教材负责人需填写《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江苏财会职业学院精品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教材建设结项申请表》（附件2），经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系（部）初审并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签署意见并加盖系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（部）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公章后，将申请表纸质版（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2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份）和电子版报教务处。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（二）教材负责人需提供已出版的教材样本1册。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三、其它说明</w:t>
      </w:r>
    </w:p>
    <w:p w:rsidR="004E7324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（一）原则上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校级精品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教材建设项目需在立项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后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两年内结项验收。</w:t>
      </w:r>
    </w:p>
    <w:p w:rsidR="004E7324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截止2019年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11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月30日前仍未出版教材且未与出版社签署正式出版合同的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重点建设教材项目，可延</w:t>
      </w:r>
      <w:r w:rsidR="00F44EE2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期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一年结项</w:t>
      </w:r>
      <w:r w:rsidR="00F44EE2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（延期申请表见附件3）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。非重点建设教材项目可以校本教材申报结项，但校本教材需2名职称是副高及以上的专家鉴定合格方可申报结项（鉴定表见附件</w:t>
      </w:r>
      <w:r w:rsidR="00F44EE2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）。</w:t>
      </w:r>
      <w:r w:rsidR="00F44EE2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截止2019年11月30日前仍未完成编写任务的，可申请</w:t>
      </w:r>
      <w:r w:rsidR="00F44EE2">
        <w:rPr>
          <w:rFonts w:ascii="仿宋_GB2312" w:eastAsia="仿宋_GB2312" w:hAnsi="仿宋_GB2312" w:cs="仿宋_GB2312" w:hint="eastAsia"/>
          <w:color w:val="000000"/>
          <w:sz w:val="28"/>
          <w:szCs w:val="32"/>
        </w:rPr>
        <w:lastRenderedPageBreak/>
        <w:t>延期半年结项。延期一次后还未达到结项要求的</w:t>
      </w:r>
      <w:r w:rsidR="00F44EE2"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将做撤项处理，其项目负责人未来3年内不得作为主编申报新的教材建设项目。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（二）请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各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位校级精品教材建设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项目负责人于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12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月2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8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日前将结项材料报至教务处（行政楼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205</w:t>
      </w: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办公室）。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（三）如有任何疑问，请致电该项工作联系人。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联系人：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王星飞</w:t>
      </w:r>
    </w:p>
    <w:p w:rsidR="004E7324" w:rsidRPr="00EB0D28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联系方式：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0518-85899755</w:t>
      </w:r>
    </w:p>
    <w:p w:rsidR="004E7324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EB0D28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邮箱：</w:t>
      </w:r>
      <w:hyperlink r:id="rId7" w:history="1">
        <w:r w:rsidRPr="00DA1687">
          <w:rPr>
            <w:rStyle w:val="a6"/>
            <w:rFonts w:ascii="仿宋_GB2312" w:eastAsia="仿宋_GB2312" w:hAnsi="仿宋_GB2312" w:cs="仿宋_GB2312" w:hint="eastAsia"/>
            <w:sz w:val="28"/>
            <w:szCs w:val="32"/>
          </w:rPr>
          <w:t>jsckjwc@163.com</w:t>
        </w:r>
      </w:hyperlink>
    </w:p>
    <w:p w:rsidR="004E7324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4E7324" w:rsidRDefault="004E7324" w:rsidP="004E7324">
      <w:pPr>
        <w:pStyle w:val="a5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4E7324" w:rsidRDefault="004E7324" w:rsidP="004E7324">
      <w:pPr>
        <w:pStyle w:val="a5"/>
        <w:snapToGrid w:val="0"/>
        <w:spacing w:before="0" w:beforeAutospacing="0" w:after="0" w:afterAutospacing="0" w:line="360" w:lineRule="auto"/>
        <w:ind w:firstLineChars="2200" w:firstLine="6160"/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教务处 </w:t>
      </w:r>
    </w:p>
    <w:p w:rsidR="004E7324" w:rsidRDefault="004E7324" w:rsidP="004E7324">
      <w:pPr>
        <w:adjustRightInd/>
        <w:spacing w:after="0" w:line="360" w:lineRule="auto"/>
        <w:jc w:val="right"/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二○一九年十二月二十三日</w:t>
      </w:r>
    </w:p>
    <w:p w:rsidR="004E7324" w:rsidRDefault="004E7324" w:rsidP="004E7324">
      <w:pPr>
        <w:adjustRightInd/>
        <w:spacing w:after="0" w:line="360" w:lineRule="auto"/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4E7324" w:rsidRDefault="004E7324" w:rsidP="004E7324">
      <w:pPr>
        <w:adjustRightInd/>
        <w:snapToGrid/>
        <w:spacing w:line="220" w:lineRule="atLeast"/>
        <w:rPr>
          <w:rFonts w:ascii="仿宋" w:eastAsia="仿宋" w:hAnsi="仿宋" w:cs="Tahoma"/>
          <w:bCs/>
          <w:color w:val="282828"/>
          <w:kern w:val="36"/>
          <w:sz w:val="28"/>
          <w:szCs w:val="27"/>
        </w:rPr>
      </w:pPr>
      <w:r>
        <w:rPr>
          <w:rFonts w:ascii="仿宋" w:eastAsia="仿宋" w:hAnsi="仿宋" w:cs="Tahoma"/>
          <w:bCs/>
          <w:color w:val="282828"/>
          <w:kern w:val="36"/>
          <w:sz w:val="28"/>
          <w:szCs w:val="27"/>
        </w:rPr>
        <w:br w:type="page"/>
      </w:r>
    </w:p>
    <w:p w:rsidR="004E7324" w:rsidRPr="0080179A" w:rsidRDefault="004E7324" w:rsidP="004E7324">
      <w:pPr>
        <w:rPr>
          <w:rFonts w:ascii="仿宋" w:eastAsia="仿宋" w:hAnsi="仿宋" w:cs="Tahoma"/>
          <w:bCs/>
          <w:color w:val="282828"/>
          <w:kern w:val="36"/>
          <w:sz w:val="28"/>
          <w:szCs w:val="27"/>
        </w:rPr>
      </w:pPr>
      <w:r w:rsidRPr="0080179A">
        <w:rPr>
          <w:rFonts w:ascii="仿宋" w:eastAsia="仿宋" w:hAnsi="仿宋" w:cs="Tahoma" w:hint="eastAsia"/>
          <w:bCs/>
          <w:color w:val="282828"/>
          <w:kern w:val="36"/>
          <w:sz w:val="28"/>
          <w:szCs w:val="27"/>
        </w:rPr>
        <w:lastRenderedPageBreak/>
        <w:t>附件1</w:t>
      </w:r>
    </w:p>
    <w:p w:rsidR="004E7324" w:rsidRPr="006317F8" w:rsidRDefault="004E7324" w:rsidP="004E7324">
      <w:pPr>
        <w:spacing w:line="0" w:lineRule="atLeast"/>
        <w:jc w:val="center"/>
        <w:rPr>
          <w:rFonts w:ascii="黑体" w:eastAsia="黑体" w:hAnsi="黑体"/>
          <w:sz w:val="32"/>
          <w:szCs w:val="36"/>
        </w:rPr>
      </w:pPr>
      <w:r w:rsidRPr="006317F8">
        <w:rPr>
          <w:rFonts w:ascii="黑体" w:eastAsia="黑体" w:hAnsi="黑体" w:hint="eastAsia"/>
          <w:sz w:val="32"/>
          <w:szCs w:val="36"/>
        </w:rPr>
        <w:t>2017年校级精品教材立项建设名单</w:t>
      </w:r>
    </w:p>
    <w:tbl>
      <w:tblPr>
        <w:tblW w:w="1039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1559"/>
        <w:gridCol w:w="993"/>
        <w:gridCol w:w="1227"/>
        <w:gridCol w:w="1041"/>
        <w:gridCol w:w="992"/>
        <w:gridCol w:w="2395"/>
        <w:gridCol w:w="772"/>
      </w:tblGrid>
      <w:tr w:rsidR="004E7324" w:rsidTr="00854139">
        <w:trPr>
          <w:trHeight w:val="401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系部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申报教材名称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教材适用类型</w:t>
            </w:r>
          </w:p>
        </w:tc>
        <w:tc>
          <w:tcPr>
            <w:tcW w:w="1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学科门类或专业大类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教材主编</w:t>
            </w:r>
          </w:p>
        </w:tc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参编人员名单</w:t>
            </w:r>
          </w:p>
        </w:tc>
        <w:tc>
          <w:tcPr>
            <w:tcW w:w="77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备注</w:t>
            </w:r>
          </w:p>
        </w:tc>
      </w:tr>
      <w:tr w:rsidR="004E7324" w:rsidTr="00854139">
        <w:trPr>
          <w:trHeight w:val="401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</w:p>
        </w:tc>
        <w:tc>
          <w:tcPr>
            <w:tcW w:w="1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职称</w:t>
            </w:r>
          </w:p>
        </w:tc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</w:p>
        </w:tc>
      </w:tr>
      <w:tr w:rsidR="004E7324" w:rsidTr="00854139">
        <w:trPr>
          <w:trHeight w:val="55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会计系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eastAsia="仿宋_GB2312"/>
                <w:color w:val="000000"/>
                <w:spacing w:val="-4"/>
                <w:szCs w:val="21"/>
              </w:rPr>
            </w:pPr>
            <w:r>
              <w:rPr>
                <w:rFonts w:eastAsia="仿宋_GB2312" w:hint="eastAsia"/>
                <w:color w:val="000000"/>
                <w:spacing w:val="-4"/>
                <w:szCs w:val="21"/>
              </w:rPr>
              <w:t>成本会计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eastAsia="仿宋_GB2312"/>
                <w:color w:val="000000"/>
                <w:spacing w:val="-4"/>
                <w:szCs w:val="21"/>
              </w:rPr>
            </w:pPr>
            <w:r>
              <w:rPr>
                <w:rFonts w:eastAsia="仿宋_GB2312" w:hint="eastAsia"/>
                <w:color w:val="000000"/>
                <w:spacing w:val="-4"/>
                <w:szCs w:val="21"/>
              </w:rPr>
              <w:t>专业核心课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财经商贸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eastAsia="仿宋_GB2312"/>
                <w:color w:val="000000"/>
                <w:spacing w:val="-4"/>
                <w:szCs w:val="21"/>
              </w:rPr>
            </w:pPr>
            <w:r>
              <w:rPr>
                <w:rFonts w:eastAsia="仿宋_GB2312" w:hint="eastAsia"/>
                <w:color w:val="000000"/>
                <w:spacing w:val="-4"/>
                <w:szCs w:val="21"/>
              </w:rPr>
              <w:t>谭函梅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eastAsia="仿宋_GB2312"/>
                <w:color w:val="000000"/>
                <w:spacing w:val="-4"/>
                <w:szCs w:val="21"/>
              </w:rPr>
            </w:pPr>
            <w:r>
              <w:rPr>
                <w:rFonts w:eastAsia="仿宋_GB2312" w:hint="eastAsia"/>
                <w:color w:val="000000"/>
                <w:spacing w:val="-4"/>
                <w:szCs w:val="21"/>
              </w:rPr>
              <w:t>副教授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eastAsia="仿宋_GB2312"/>
                <w:color w:val="000000"/>
                <w:spacing w:val="-4"/>
                <w:szCs w:val="21"/>
              </w:rPr>
            </w:pPr>
            <w:r>
              <w:rPr>
                <w:rFonts w:eastAsia="仿宋_GB2312" w:hint="eastAsia"/>
                <w:color w:val="000000"/>
                <w:spacing w:val="-4"/>
                <w:szCs w:val="21"/>
              </w:rPr>
              <w:t>朱迪珍、刘玮璐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</w:p>
        </w:tc>
      </w:tr>
      <w:tr w:rsidR="004E7324" w:rsidTr="00854139">
        <w:trPr>
          <w:trHeight w:val="55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财金系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财务管理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4"/>
                <w:szCs w:val="21"/>
                <w:lang w:val="zh-CN"/>
              </w:rPr>
              <w:t>专业核心课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财经商贸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彭习锋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副教授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范琳、郭琪、陈琦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</w:p>
        </w:tc>
      </w:tr>
      <w:tr w:rsidR="004E7324" w:rsidTr="00854139">
        <w:trPr>
          <w:trHeight w:val="441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财金系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互联网金融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专业核心课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财经商贸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徐倩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讲师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张译文、孙丽俊、光琳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</w:p>
        </w:tc>
      </w:tr>
      <w:tr w:rsidR="004E7324" w:rsidTr="00854139">
        <w:trPr>
          <w:trHeight w:val="633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经贸系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管理学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专业基础课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财经商贸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余燕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副教授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陈尚金、杨庆平、邵尉、武倩、伏星、王振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</w:p>
        </w:tc>
      </w:tr>
      <w:tr w:rsidR="004E7324" w:rsidTr="00854139">
        <w:trPr>
          <w:trHeight w:val="42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经贸系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运输管理实务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专业核心课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spacing w:after="0"/>
              <w:jc w:val="center"/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财经商贸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滕罕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讲师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陈尚金、焦微家、庞雷、彭旋、李鑫、孙雷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</w:p>
        </w:tc>
      </w:tr>
      <w:tr w:rsidR="004E7324" w:rsidTr="00854139">
        <w:trPr>
          <w:trHeight w:val="5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公共管理系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社会工作实务初级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专业核心课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公共管理与服务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董晓云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讲师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孙甲、李雪、戴海云、李昱霏、张龙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</w:p>
        </w:tc>
      </w:tr>
      <w:tr w:rsidR="004E7324" w:rsidTr="00854139">
        <w:trPr>
          <w:trHeight w:val="469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信息系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电子商务概论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专业核心课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财经商贸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顾明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教授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唐滔、周欢、谭志远、王艺瑾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重点</w:t>
            </w:r>
          </w:p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建设</w:t>
            </w:r>
          </w:p>
        </w:tc>
      </w:tr>
      <w:tr w:rsidR="004E7324" w:rsidTr="00854139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信息系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网络</w:t>
            </w:r>
            <w:r>
              <w:rPr>
                <w:rFonts w:ascii="仿宋_GB2312" w:eastAsia="仿宋_GB2312"/>
                <w:color w:val="000000"/>
                <w:spacing w:val="-4"/>
                <w:szCs w:val="21"/>
              </w:rPr>
              <w:t>营销实务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专业</w:t>
            </w:r>
            <w:r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  <w:t>核心课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财经商贸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唐滔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讲师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顾明、马晓伟、周欢、胡力文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</w:p>
        </w:tc>
      </w:tr>
      <w:tr w:rsidR="004E7324" w:rsidTr="00854139">
        <w:trPr>
          <w:trHeight w:val="12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思政部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大学生就业与创业指导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公共基础课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公共课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王星飞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副教授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曹娟、姜莎莎、杨琳、朱岚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重点</w:t>
            </w:r>
          </w:p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建设</w:t>
            </w:r>
          </w:p>
        </w:tc>
      </w:tr>
      <w:tr w:rsidR="004E7324" w:rsidTr="00854139">
        <w:trPr>
          <w:trHeight w:val="62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基础部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大学语文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公共基础课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公共课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张洛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副教授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张红丽、王志红、张兴龙、孙蕾、樊蓉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cs="黑体"/>
                <w:color w:val="000000"/>
                <w:spacing w:val="-4"/>
                <w:szCs w:val="21"/>
                <w:lang w:val="zh-CN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重点</w:t>
            </w:r>
          </w:p>
          <w:p w:rsidR="004E7324" w:rsidRDefault="004E7324" w:rsidP="00854139">
            <w:pPr>
              <w:autoSpaceDE w:val="0"/>
              <w:autoSpaceDN w:val="0"/>
              <w:spacing w:after="0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ascii="仿宋_GB2312" w:eastAsia="仿宋_GB2312" w:cs="黑体" w:hint="eastAsia"/>
                <w:color w:val="000000"/>
                <w:spacing w:val="-4"/>
                <w:szCs w:val="21"/>
                <w:lang w:val="zh-CN"/>
              </w:rPr>
              <w:t>建设</w:t>
            </w:r>
          </w:p>
        </w:tc>
      </w:tr>
    </w:tbl>
    <w:p w:rsidR="004E7324" w:rsidRDefault="004E7324" w:rsidP="004E7324">
      <w:pPr>
        <w:adjustRightInd/>
        <w:snapToGrid/>
        <w:spacing w:line="220" w:lineRule="atLeast"/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/>
          <w:color w:val="000000"/>
          <w:sz w:val="28"/>
          <w:szCs w:val="32"/>
        </w:rPr>
        <w:br w:type="page"/>
      </w:r>
    </w:p>
    <w:p w:rsidR="004E7324" w:rsidRPr="00C634A6" w:rsidRDefault="004E7324" w:rsidP="004E7324">
      <w:pPr>
        <w:rPr>
          <w:rFonts w:ascii="仿宋" w:eastAsia="仿宋" w:hAnsi="仿宋" w:cs="Tahoma"/>
          <w:bCs/>
          <w:color w:val="282828"/>
          <w:kern w:val="36"/>
          <w:sz w:val="28"/>
          <w:szCs w:val="27"/>
        </w:rPr>
      </w:pPr>
      <w:r w:rsidRPr="00C634A6">
        <w:rPr>
          <w:rFonts w:ascii="仿宋" w:eastAsia="仿宋" w:hAnsi="仿宋" w:cs="Tahoma" w:hint="eastAsia"/>
          <w:bCs/>
          <w:color w:val="282828"/>
          <w:kern w:val="36"/>
          <w:sz w:val="28"/>
          <w:szCs w:val="27"/>
        </w:rPr>
        <w:lastRenderedPageBreak/>
        <w:t>附件2</w:t>
      </w:r>
      <w:r w:rsidRPr="00C634A6">
        <w:rPr>
          <w:rFonts w:ascii="仿宋" w:eastAsia="仿宋" w:hAnsi="仿宋" w:cs="Tahoma"/>
          <w:bCs/>
          <w:color w:val="282828"/>
          <w:kern w:val="36"/>
          <w:sz w:val="28"/>
          <w:szCs w:val="27"/>
        </w:rPr>
        <w:t>：</w:t>
      </w:r>
    </w:p>
    <w:p w:rsidR="004E7324" w:rsidRDefault="004E7324" w:rsidP="004E7324">
      <w:pPr>
        <w:spacing w:line="0" w:lineRule="atLeast"/>
        <w:rPr>
          <w:rFonts w:ascii="黑体" w:eastAsia="黑体" w:hAnsi="黑体"/>
          <w:sz w:val="10"/>
          <w:szCs w:val="10"/>
        </w:rPr>
      </w:pPr>
    </w:p>
    <w:p w:rsidR="004E7324" w:rsidRPr="006317F8" w:rsidRDefault="004E7324" w:rsidP="004E7324">
      <w:pPr>
        <w:spacing w:line="0" w:lineRule="atLeast"/>
        <w:jc w:val="center"/>
        <w:rPr>
          <w:rFonts w:ascii="黑体" w:eastAsia="黑体" w:hAnsi="黑体"/>
          <w:sz w:val="32"/>
          <w:szCs w:val="36"/>
        </w:rPr>
      </w:pPr>
      <w:r w:rsidRPr="006317F8">
        <w:rPr>
          <w:rFonts w:ascii="黑体" w:eastAsia="黑体" w:hAnsi="黑体" w:hint="eastAsia"/>
          <w:sz w:val="32"/>
          <w:szCs w:val="36"/>
        </w:rPr>
        <w:t>江苏财会职业学院校级精品教材建设项目结项申请表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96"/>
        <w:gridCol w:w="1912"/>
        <w:gridCol w:w="2454"/>
      </w:tblGrid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教材</w:t>
            </w: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项目归属</w:t>
            </w:r>
          </w:p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单位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负责人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立项经费</w:t>
            </w:r>
          </w:p>
          <w:p w:rsidR="004E7324" w:rsidRPr="001B3ACF" w:rsidRDefault="008A2300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资</w:t>
            </w:r>
            <w:r w:rsidR="004E7324" w:rsidRPr="001B3ACF">
              <w:rPr>
                <w:rFonts w:ascii="仿宋" w:eastAsia="仿宋" w:hAnsi="仿宋" w:cs="宋体" w:hint="eastAsia"/>
                <w:sz w:val="24"/>
                <w:szCs w:val="21"/>
              </w:rPr>
              <w:t>助额度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立项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>类型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ind w:firstLineChars="50" w:firstLine="120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□重点建设项目</w:t>
            </w:r>
          </w:p>
          <w:p w:rsidR="004E7324" w:rsidRPr="001B3ACF" w:rsidRDefault="004E7324" w:rsidP="00854139">
            <w:pPr>
              <w:spacing w:after="0" w:line="0" w:lineRule="atLeast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□非重点建设项目</w:t>
            </w:r>
          </w:p>
        </w:tc>
      </w:tr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立项时间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教材建设</w:t>
            </w:r>
          </w:p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完成时间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出版社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书号（ISBN）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版次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申请结项时间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2554"/>
        </w:trPr>
        <w:tc>
          <w:tcPr>
            <w:tcW w:w="1951" w:type="dxa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项目完成</w:t>
            </w:r>
          </w:p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情况介绍</w:t>
            </w:r>
          </w:p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（可附页）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1659"/>
        </w:trPr>
        <w:tc>
          <w:tcPr>
            <w:tcW w:w="1951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结项材料要目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360" w:lineRule="auto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1.</w:t>
            </w:r>
          </w:p>
          <w:p w:rsidR="004E7324" w:rsidRPr="001B3ACF" w:rsidRDefault="004E7324" w:rsidP="00854139">
            <w:pPr>
              <w:spacing w:after="0" w:line="360" w:lineRule="auto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2.</w:t>
            </w:r>
          </w:p>
          <w:p w:rsidR="004E7324" w:rsidRPr="001B3ACF" w:rsidRDefault="004E7324" w:rsidP="00854139">
            <w:pPr>
              <w:spacing w:after="0" w:line="360" w:lineRule="auto"/>
              <w:jc w:val="both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3.</w:t>
            </w:r>
          </w:p>
        </w:tc>
      </w:tr>
      <w:tr w:rsidR="004E7324" w:rsidRPr="00A96D22" w:rsidTr="00854139">
        <w:trPr>
          <w:trHeight w:val="1659"/>
        </w:trPr>
        <w:tc>
          <w:tcPr>
            <w:tcW w:w="1951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系（部）审核意见（签字、盖章）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F44EE2" w:rsidRPr="00A96D22" w:rsidTr="001353AD">
        <w:trPr>
          <w:trHeight w:val="1210"/>
        </w:trPr>
        <w:tc>
          <w:tcPr>
            <w:tcW w:w="1951" w:type="dxa"/>
            <w:shd w:val="clear" w:color="auto" w:fill="auto"/>
            <w:vAlign w:val="center"/>
          </w:tcPr>
          <w:p w:rsidR="00F44EE2" w:rsidRPr="001B3ACF" w:rsidRDefault="00F44EE2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教务处审核意见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F44EE2" w:rsidRPr="001B3ACF" w:rsidRDefault="00F44EE2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</w:tbl>
    <w:p w:rsidR="004E7324" w:rsidRDefault="004E7324" w:rsidP="004E7324">
      <w:pPr>
        <w:spacing w:line="20" w:lineRule="exact"/>
        <w:rPr>
          <w:rFonts w:ascii="黑体" w:eastAsia="黑体" w:hAnsi="黑体"/>
          <w:sz w:val="36"/>
          <w:szCs w:val="36"/>
        </w:rPr>
      </w:pPr>
    </w:p>
    <w:p w:rsidR="004E7324" w:rsidRDefault="004E7324" w:rsidP="004E7324">
      <w:pPr>
        <w:spacing w:line="20" w:lineRule="exact"/>
        <w:rPr>
          <w:rFonts w:ascii="黑体" w:eastAsia="黑体" w:hAnsi="黑体"/>
          <w:sz w:val="36"/>
          <w:szCs w:val="36"/>
        </w:rPr>
      </w:pPr>
    </w:p>
    <w:p w:rsidR="00F44EE2" w:rsidRDefault="00F44EE2" w:rsidP="004E7324">
      <w:pPr>
        <w:rPr>
          <w:rFonts w:ascii="仿宋" w:eastAsia="仿宋" w:hAnsi="仿宋" w:cs="Tahoma"/>
          <w:bCs/>
          <w:color w:val="282828"/>
          <w:kern w:val="36"/>
          <w:sz w:val="28"/>
          <w:szCs w:val="27"/>
        </w:rPr>
      </w:pPr>
      <w:r>
        <w:rPr>
          <w:rFonts w:ascii="仿宋" w:eastAsia="仿宋" w:hAnsi="仿宋" w:cs="Tahoma" w:hint="eastAsia"/>
          <w:bCs/>
          <w:color w:val="282828"/>
          <w:kern w:val="36"/>
          <w:sz w:val="28"/>
          <w:szCs w:val="27"/>
        </w:rPr>
        <w:lastRenderedPageBreak/>
        <w:t>附件3</w:t>
      </w:r>
    </w:p>
    <w:p w:rsidR="00F44EE2" w:rsidRPr="006317F8" w:rsidRDefault="00F44EE2" w:rsidP="00F44EE2">
      <w:pPr>
        <w:spacing w:line="0" w:lineRule="atLeast"/>
        <w:jc w:val="center"/>
        <w:rPr>
          <w:rFonts w:ascii="黑体" w:eastAsia="黑体" w:hAnsi="黑体"/>
          <w:sz w:val="32"/>
          <w:szCs w:val="36"/>
        </w:rPr>
      </w:pPr>
      <w:r w:rsidRPr="006317F8">
        <w:rPr>
          <w:rFonts w:ascii="黑体" w:eastAsia="黑体" w:hAnsi="黑体" w:hint="eastAsia"/>
          <w:sz w:val="32"/>
          <w:szCs w:val="36"/>
        </w:rPr>
        <w:t>江苏财会职业学院校级精品教材建设</w:t>
      </w:r>
      <w:r>
        <w:rPr>
          <w:rFonts w:ascii="黑体" w:eastAsia="黑体" w:hAnsi="黑体" w:hint="eastAsia"/>
          <w:sz w:val="32"/>
          <w:szCs w:val="36"/>
        </w:rPr>
        <w:t>延期</w:t>
      </w:r>
      <w:r w:rsidRPr="006317F8">
        <w:rPr>
          <w:rFonts w:ascii="黑体" w:eastAsia="黑体" w:hAnsi="黑体" w:hint="eastAsia"/>
          <w:sz w:val="32"/>
          <w:szCs w:val="36"/>
        </w:rPr>
        <w:t>结项申请表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96"/>
        <w:gridCol w:w="1912"/>
        <w:gridCol w:w="2454"/>
      </w:tblGrid>
      <w:tr w:rsidR="00F44EE2" w:rsidRPr="001B3ACF" w:rsidTr="00AF1CA3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教材</w:t>
            </w: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F44EE2" w:rsidRPr="001B3ACF" w:rsidTr="00AF1CA3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项目归属</w:t>
            </w:r>
          </w:p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单位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负责人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F44EE2" w:rsidRPr="001B3ACF" w:rsidTr="00AF1CA3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立项经费</w:t>
            </w:r>
          </w:p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资</w:t>
            </w: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助额度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立项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>类型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44EE2" w:rsidRDefault="00F44EE2" w:rsidP="00AF1CA3">
            <w:pPr>
              <w:spacing w:after="0" w:line="0" w:lineRule="atLeast"/>
              <w:ind w:firstLineChars="50" w:firstLine="120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□重点建设项目</w:t>
            </w:r>
          </w:p>
          <w:p w:rsidR="00F44EE2" w:rsidRPr="001B3ACF" w:rsidRDefault="00F44EE2" w:rsidP="00AF1CA3">
            <w:pPr>
              <w:spacing w:after="0" w:line="0" w:lineRule="atLeast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□非重点建设项目</w:t>
            </w:r>
          </w:p>
        </w:tc>
      </w:tr>
      <w:tr w:rsidR="00F44EE2" w:rsidRPr="001B3ACF" w:rsidTr="00AF1CA3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立项时间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延期完成</w:t>
            </w:r>
          </w:p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时间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F44EE2" w:rsidRPr="001B3ACF" w:rsidTr="006F5038">
        <w:trPr>
          <w:trHeight w:val="812"/>
        </w:trPr>
        <w:tc>
          <w:tcPr>
            <w:tcW w:w="8613" w:type="dxa"/>
            <w:gridSpan w:val="4"/>
            <w:shd w:val="clear" w:color="auto" w:fill="auto"/>
            <w:vAlign w:val="center"/>
          </w:tcPr>
          <w:p w:rsidR="00F44EE2" w:rsidRPr="001B3ACF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延期理由</w:t>
            </w:r>
          </w:p>
        </w:tc>
      </w:tr>
      <w:tr w:rsidR="00F44EE2" w:rsidRPr="001B3ACF" w:rsidTr="00F44EE2">
        <w:trPr>
          <w:trHeight w:val="4425"/>
        </w:trPr>
        <w:tc>
          <w:tcPr>
            <w:tcW w:w="8613" w:type="dxa"/>
            <w:gridSpan w:val="4"/>
            <w:shd w:val="clear" w:color="auto" w:fill="auto"/>
            <w:vAlign w:val="center"/>
          </w:tcPr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                                   负责人（签字）：</w:t>
            </w: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                                        年    月    日</w:t>
            </w:r>
          </w:p>
          <w:p w:rsidR="00F44EE2" w:rsidRDefault="00F44EE2" w:rsidP="00F44EE2">
            <w:pPr>
              <w:spacing w:after="0" w:line="0" w:lineRule="atLeast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F44EE2" w:rsidRPr="001B3ACF" w:rsidTr="00F44EE2">
        <w:trPr>
          <w:trHeight w:val="491"/>
        </w:trPr>
        <w:tc>
          <w:tcPr>
            <w:tcW w:w="8613" w:type="dxa"/>
            <w:gridSpan w:val="4"/>
            <w:shd w:val="clear" w:color="auto" w:fill="auto"/>
            <w:vAlign w:val="center"/>
          </w:tcPr>
          <w:p w:rsidR="00F44EE2" w:rsidRDefault="00F44EE2" w:rsidP="00F44EE2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系（部）意见</w:t>
            </w:r>
          </w:p>
        </w:tc>
      </w:tr>
      <w:tr w:rsidR="00F44EE2" w:rsidRPr="001B3ACF" w:rsidTr="006F5038">
        <w:trPr>
          <w:trHeight w:val="1590"/>
        </w:trPr>
        <w:tc>
          <w:tcPr>
            <w:tcW w:w="8613" w:type="dxa"/>
            <w:gridSpan w:val="4"/>
            <w:shd w:val="clear" w:color="auto" w:fill="auto"/>
            <w:vAlign w:val="center"/>
          </w:tcPr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F44EE2" w:rsidRDefault="00F44EE2" w:rsidP="00AF1CA3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                                   系（部）主任（签字）：</w:t>
            </w:r>
          </w:p>
          <w:p w:rsidR="00F44EE2" w:rsidRPr="00F44EE2" w:rsidRDefault="00F44EE2" w:rsidP="00F44EE2">
            <w:pPr>
              <w:spacing w:after="0" w:line="0" w:lineRule="atLeast"/>
              <w:ind w:firstLineChars="2550" w:firstLine="6120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年    月    日</w:t>
            </w:r>
          </w:p>
        </w:tc>
      </w:tr>
    </w:tbl>
    <w:p w:rsidR="004E7324" w:rsidRDefault="004E7324" w:rsidP="004E7324">
      <w:pPr>
        <w:rPr>
          <w:rFonts w:ascii="仿宋" w:eastAsia="仿宋" w:hAnsi="仿宋" w:cs="Tahoma"/>
          <w:bCs/>
          <w:color w:val="282828"/>
          <w:kern w:val="36"/>
          <w:sz w:val="28"/>
          <w:szCs w:val="27"/>
        </w:rPr>
      </w:pPr>
      <w:r w:rsidRPr="00C634A6">
        <w:rPr>
          <w:rFonts w:ascii="仿宋" w:eastAsia="仿宋" w:hAnsi="仿宋" w:cs="Tahoma" w:hint="eastAsia"/>
          <w:bCs/>
          <w:color w:val="282828"/>
          <w:kern w:val="36"/>
          <w:sz w:val="28"/>
          <w:szCs w:val="27"/>
        </w:rPr>
        <w:lastRenderedPageBreak/>
        <w:t>附</w:t>
      </w:r>
      <w:r>
        <w:rPr>
          <w:rFonts w:ascii="仿宋" w:eastAsia="仿宋" w:hAnsi="仿宋" w:cs="Tahoma" w:hint="eastAsia"/>
          <w:bCs/>
          <w:color w:val="282828"/>
          <w:kern w:val="36"/>
          <w:sz w:val="28"/>
          <w:szCs w:val="27"/>
        </w:rPr>
        <w:t>件</w:t>
      </w:r>
      <w:r w:rsidR="00F44EE2">
        <w:rPr>
          <w:rFonts w:ascii="仿宋" w:eastAsia="仿宋" w:hAnsi="仿宋" w:cs="Tahoma" w:hint="eastAsia"/>
          <w:bCs/>
          <w:color w:val="282828"/>
          <w:kern w:val="36"/>
          <w:sz w:val="28"/>
          <w:szCs w:val="27"/>
        </w:rPr>
        <w:t>4</w:t>
      </w:r>
      <w:r w:rsidRPr="00C634A6">
        <w:rPr>
          <w:rFonts w:ascii="仿宋" w:eastAsia="仿宋" w:hAnsi="仿宋" w:cs="Tahoma" w:hint="eastAsia"/>
          <w:bCs/>
          <w:color w:val="282828"/>
          <w:kern w:val="36"/>
          <w:sz w:val="28"/>
          <w:szCs w:val="27"/>
        </w:rPr>
        <w:t xml:space="preserve"> </w:t>
      </w:r>
    </w:p>
    <w:p w:rsidR="004E7324" w:rsidRPr="006317F8" w:rsidRDefault="004E7324" w:rsidP="004E7324">
      <w:pPr>
        <w:spacing w:line="0" w:lineRule="atLeast"/>
        <w:jc w:val="center"/>
        <w:rPr>
          <w:rFonts w:ascii="黑体" w:eastAsia="黑体" w:hAnsi="黑体"/>
          <w:sz w:val="32"/>
          <w:szCs w:val="36"/>
        </w:rPr>
      </w:pPr>
      <w:r w:rsidRPr="006317F8">
        <w:rPr>
          <w:rFonts w:ascii="黑体" w:eastAsia="黑体" w:hAnsi="黑体" w:hint="eastAsia"/>
          <w:sz w:val="32"/>
          <w:szCs w:val="36"/>
        </w:rPr>
        <w:t>江苏财会职业学院校级精品教材专家鉴定表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96"/>
        <w:gridCol w:w="1912"/>
        <w:gridCol w:w="2454"/>
      </w:tblGrid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项目名称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项目归属</w:t>
            </w:r>
          </w:p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单位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负责人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Pr="001B3ACF" w:rsidRDefault="004E7324" w:rsidP="004E7324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立项时间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教材建设</w:t>
            </w:r>
          </w:p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1B3ACF">
              <w:rPr>
                <w:rFonts w:ascii="仿宋" w:eastAsia="仿宋" w:hAnsi="仿宋" w:cs="宋体" w:hint="eastAsia"/>
                <w:sz w:val="24"/>
                <w:szCs w:val="21"/>
              </w:rPr>
              <w:t>完成时间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鉴定专家</w:t>
            </w:r>
          </w:p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姓名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专家所在单位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专家职称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鉴定时间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4E7324" w:rsidRPr="00A96D22" w:rsidTr="00854139">
        <w:trPr>
          <w:trHeight w:val="694"/>
        </w:trPr>
        <w:tc>
          <w:tcPr>
            <w:tcW w:w="8613" w:type="dxa"/>
            <w:gridSpan w:val="4"/>
            <w:shd w:val="clear" w:color="auto" w:fill="auto"/>
            <w:vAlign w:val="center"/>
          </w:tcPr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鉴定意见</w:t>
            </w:r>
          </w:p>
        </w:tc>
      </w:tr>
      <w:tr w:rsidR="004E7324" w:rsidRPr="00A96D22" w:rsidTr="00854139">
        <w:trPr>
          <w:trHeight w:val="2456"/>
        </w:trPr>
        <w:tc>
          <w:tcPr>
            <w:tcW w:w="8613" w:type="dxa"/>
            <w:gridSpan w:val="4"/>
            <w:shd w:val="clear" w:color="auto" w:fill="auto"/>
            <w:vAlign w:val="center"/>
          </w:tcPr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  <w:p w:rsidR="004E7324" w:rsidRDefault="004E7324" w:rsidP="00854139">
            <w:pPr>
              <w:wordWrap w:val="0"/>
              <w:spacing w:after="0" w:line="0" w:lineRule="atLeast"/>
              <w:ind w:right="480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                                     鉴定人(签字)  </w:t>
            </w:r>
          </w:p>
          <w:p w:rsidR="004E7324" w:rsidRDefault="004E7324" w:rsidP="00854139">
            <w:pPr>
              <w:spacing w:after="0" w:line="0" w:lineRule="atLeast"/>
              <w:jc w:val="right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       </w:t>
            </w:r>
          </w:p>
          <w:p w:rsidR="004E7324" w:rsidRPr="001B3ACF" w:rsidRDefault="004E7324" w:rsidP="00854139">
            <w:pPr>
              <w:spacing w:after="0" w:line="0" w:lineRule="atLeast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                               年   月 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39" w:rsidRDefault="00992639" w:rsidP="004E7324">
      <w:pPr>
        <w:spacing w:after="0"/>
      </w:pPr>
      <w:r>
        <w:separator/>
      </w:r>
    </w:p>
  </w:endnote>
  <w:endnote w:type="continuationSeparator" w:id="0">
    <w:p w:rsidR="00992639" w:rsidRDefault="00992639" w:rsidP="004E73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39" w:rsidRDefault="00992639" w:rsidP="004E7324">
      <w:pPr>
        <w:spacing w:after="0"/>
      </w:pPr>
      <w:r>
        <w:separator/>
      </w:r>
    </w:p>
  </w:footnote>
  <w:footnote w:type="continuationSeparator" w:id="0">
    <w:p w:rsidR="00992639" w:rsidRDefault="00992639" w:rsidP="004E73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7F5F"/>
    <w:rsid w:val="00323B43"/>
    <w:rsid w:val="003D37D8"/>
    <w:rsid w:val="00426133"/>
    <w:rsid w:val="004358AB"/>
    <w:rsid w:val="004E7324"/>
    <w:rsid w:val="005811EF"/>
    <w:rsid w:val="005E4A50"/>
    <w:rsid w:val="008A2300"/>
    <w:rsid w:val="008B7726"/>
    <w:rsid w:val="00992639"/>
    <w:rsid w:val="00D31D50"/>
    <w:rsid w:val="00F4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3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3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3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324"/>
    <w:rPr>
      <w:rFonts w:ascii="Tahoma" w:hAnsi="Tahoma"/>
      <w:sz w:val="18"/>
      <w:szCs w:val="18"/>
    </w:rPr>
  </w:style>
  <w:style w:type="paragraph" w:styleId="a5">
    <w:name w:val="Normal (Web)"/>
    <w:basedOn w:val="a"/>
    <w:unhideWhenUsed/>
    <w:rsid w:val="004E73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rsid w:val="004E73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ckjwc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王星飞</cp:lastModifiedBy>
  <cp:revision>5</cp:revision>
  <dcterms:created xsi:type="dcterms:W3CDTF">2008-09-11T17:20:00Z</dcterms:created>
  <dcterms:modified xsi:type="dcterms:W3CDTF">2019-12-23T06:49:00Z</dcterms:modified>
</cp:coreProperties>
</file>